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37C77" w14:textId="77777777" w:rsidR="00772B91" w:rsidRDefault="00431630">
      <w:pPr>
        <w:spacing w:after="160"/>
        <w:jc w:val="center"/>
      </w:pPr>
      <w:r>
        <w:rPr>
          <w:b/>
          <w:bCs/>
          <w:color w:val="1F3864"/>
          <w:sz w:val="36"/>
          <w:szCs w:val="36"/>
        </w:rPr>
        <w:t>FICHE PROFESSEUR + CORRIGÉ</w:t>
      </w:r>
    </w:p>
    <w:p w14:paraId="37DAC257" w14:textId="77777777" w:rsidR="00772B91" w:rsidRDefault="00431630">
      <w:pPr>
        <w:spacing w:after="80"/>
        <w:jc w:val="center"/>
      </w:pPr>
      <w:r>
        <w:rPr>
          <w:i/>
          <w:iCs/>
          <w:color w:val="2E5395"/>
          <w:sz w:val="27"/>
          <w:szCs w:val="27"/>
        </w:rPr>
        <w:t>Les moteurs de recherche sont-ils neutres ?</w:t>
      </w:r>
    </w:p>
    <w:p w14:paraId="5E5E46AA" w14:textId="77777777" w:rsidR="00772B91" w:rsidRDefault="00431630">
      <w:pPr>
        <w:spacing w:after="340"/>
        <w:jc w:val="center"/>
      </w:pPr>
      <w:r>
        <w:rPr>
          <w:color w:val="606060"/>
        </w:rPr>
        <w:t>Étude des stéréotypes de genre dans les résultats d’images — SNT, Seconde</w:t>
      </w:r>
    </w:p>
    <w:p w14:paraId="61C9D766" w14:textId="77777777" w:rsidR="00772B91" w:rsidRDefault="00431630">
      <w:pPr>
        <w:spacing w:after="120" w:line="300" w:lineRule="auto"/>
        <w:jc w:val="both"/>
        <w:rPr>
          <w:i/>
          <w:iCs/>
          <w:color w:val="606060"/>
        </w:rPr>
      </w:pPr>
      <w:r>
        <w:rPr>
          <w:i/>
          <w:iCs/>
          <w:color w:val="606060"/>
        </w:rPr>
        <w:t>Ce document est destiné à l’</w:t>
      </w:r>
      <w:proofErr w:type="spellStart"/>
      <w:r>
        <w:rPr>
          <w:i/>
          <w:iCs/>
          <w:color w:val="606060"/>
        </w:rPr>
        <w:t>enseignant·e</w:t>
      </w:r>
      <w:proofErr w:type="spellEnd"/>
      <w:r>
        <w:rPr>
          <w:i/>
          <w:iCs/>
          <w:color w:val="606060"/>
        </w:rPr>
        <w:t>. Il reprend les cinq activités de la fiche élève, en fournissant pour chacune les objectifs, le déroulé, le corrigé (appuyé sur les résultats réellement collectés) et des notes pédagogiques. Il se termine par le cadrage programme/CRCN, le déroulé global et les précautions à prendre.</w:t>
      </w:r>
    </w:p>
    <w:p w14:paraId="7EC9A70F" w14:textId="77777777" w:rsidR="00753310" w:rsidRDefault="00753310">
      <w:pPr>
        <w:spacing w:after="120" w:line="300" w:lineRule="auto"/>
        <w:jc w:val="both"/>
        <w:rPr>
          <w:i/>
          <w:iCs/>
          <w:color w:val="606060"/>
        </w:rPr>
      </w:pPr>
    </w:p>
    <w:p w14:paraId="38C87911" w14:textId="77777777" w:rsidR="00753310" w:rsidRDefault="00753310">
      <w:pPr>
        <w:spacing w:after="120" w:line="300" w:lineRule="auto"/>
        <w:jc w:val="both"/>
      </w:pPr>
    </w:p>
    <w:p w14:paraId="1759569F" w14:textId="77777777" w:rsidR="00772B91" w:rsidRDefault="00431630">
      <w:pPr>
        <w:pStyle w:val="Titre1"/>
      </w:pPr>
      <w:r>
        <w:t>1. Cadrage général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72B91" w14:paraId="10C122BB" w14:textId="77777777">
        <w:tc>
          <w:tcPr>
            <w:tcW w:w="9360" w:type="dxa"/>
            <w:tcBorders>
              <w:top w:val="single" w:sz="4" w:space="0" w:color="B0B0B0"/>
              <w:left w:val="single" w:sz="4" w:space="0" w:color="B0B0B0"/>
              <w:bottom w:val="single" w:sz="4" w:space="0" w:color="B0B0B0"/>
              <w:right w:val="single" w:sz="4" w:space="0" w:color="B0B0B0"/>
            </w:tcBorders>
            <w:shd w:val="clear" w:color="auto" w:fill="E7EEF7"/>
            <w:tcMar>
              <w:top w:w="140" w:type="dxa"/>
              <w:left w:w="200" w:type="dxa"/>
              <w:bottom w:w="140" w:type="dxa"/>
              <w:right w:w="200" w:type="dxa"/>
            </w:tcMar>
          </w:tcPr>
          <w:p w14:paraId="595CE12F" w14:textId="77777777" w:rsidR="00772B91" w:rsidRDefault="00431630">
            <w:pPr>
              <w:spacing w:after="100"/>
            </w:pPr>
            <w:r>
              <w:rPr>
                <w:b/>
                <w:bCs/>
                <w:color w:val="1F3864"/>
                <w:sz w:val="24"/>
                <w:szCs w:val="24"/>
              </w:rPr>
              <w:t>Informations clés</w:t>
            </w:r>
          </w:p>
          <w:p w14:paraId="5B37B698" w14:textId="77777777" w:rsidR="00772B91" w:rsidRDefault="00431630">
            <w:pPr>
              <w:spacing w:after="60"/>
            </w:pPr>
            <w:r>
              <w:t>Niveau : Seconde générale et technologique</w:t>
            </w:r>
          </w:p>
          <w:p w14:paraId="0364BBFD" w14:textId="77777777" w:rsidR="00772B91" w:rsidRDefault="00431630">
            <w:pPr>
              <w:spacing w:after="60"/>
            </w:pPr>
            <w:r>
              <w:t>Discipline : Sciences Numériques et Technologie (SNT)</w:t>
            </w:r>
          </w:p>
          <w:p w14:paraId="4A8C996C" w14:textId="77777777" w:rsidR="00772B91" w:rsidRDefault="00431630">
            <w:pPr>
              <w:spacing w:after="60"/>
            </w:pPr>
            <w:r>
              <w:t>Thèmes du programme : « Le Web » et « Les données »</w:t>
            </w:r>
          </w:p>
          <w:p w14:paraId="0EE6AD23" w14:textId="77777777" w:rsidR="00772B91" w:rsidRDefault="00431630">
            <w:pPr>
              <w:spacing w:after="60"/>
            </w:pPr>
            <w:r>
              <w:t>Durée totale : environ 1 h 30 à 2 h (5 activités modulables)</w:t>
            </w:r>
          </w:p>
          <w:p w14:paraId="428CD694" w14:textId="77777777" w:rsidR="00772B91" w:rsidRDefault="00431630">
            <w:pPr>
              <w:spacing w:after="60"/>
            </w:pPr>
            <w:r>
              <w:t>Modalités : alternance de travail en groupes et de mises en commun</w:t>
            </w:r>
          </w:p>
          <w:p w14:paraId="3010D4D1" w14:textId="69EB71AC" w:rsidR="00772B91" w:rsidRDefault="00431630">
            <w:pPr>
              <w:spacing w:after="60"/>
            </w:pPr>
            <w:r>
              <w:t xml:space="preserve">Matériel : postes connectés (un moteur de recherche par groupe), vidéoprojecteur, </w:t>
            </w:r>
            <w:r w:rsidR="00936FE5">
              <w:t>le document intro.pdf</w:t>
            </w:r>
          </w:p>
        </w:tc>
      </w:tr>
    </w:tbl>
    <w:p w14:paraId="5C5E1A60" w14:textId="77777777" w:rsidR="00772B91" w:rsidRDefault="00431630">
      <w:pPr>
        <w:pStyle w:val="Titre2"/>
      </w:pPr>
      <w:r>
        <w:t>Objectifs de la séquence</w:t>
      </w:r>
    </w:p>
    <w:p w14:paraId="2126C8CB" w14:textId="77777777" w:rsidR="00772B91" w:rsidRDefault="00431630">
      <w:pPr>
        <w:spacing w:after="120" w:line="300" w:lineRule="auto"/>
        <w:jc w:val="both"/>
      </w:pPr>
      <w:r>
        <w:rPr>
          <w:b/>
          <w:bCs/>
        </w:rPr>
        <w:t>Objectifs disciplinaires :</w:t>
      </w:r>
    </w:p>
    <w:p w14:paraId="67F1C725" w14:textId="77777777" w:rsidR="00772B91" w:rsidRDefault="00431630">
      <w:pPr>
        <w:pStyle w:val="Paragraphedeliste"/>
        <w:numPr>
          <w:ilvl w:val="0"/>
          <w:numId w:val="2"/>
        </w:numPr>
        <w:spacing w:after="70" w:line="290" w:lineRule="auto"/>
      </w:pPr>
      <w:r>
        <w:t>Comprendre le fonctionnement d’un moteur de recherche : indexation, classement, hiérarchisation des résultats.</w:t>
      </w:r>
    </w:p>
    <w:p w14:paraId="4171C782" w14:textId="77777777" w:rsidR="00772B91" w:rsidRDefault="00431630">
      <w:pPr>
        <w:pStyle w:val="Paragraphedeliste"/>
        <w:numPr>
          <w:ilvl w:val="0"/>
          <w:numId w:val="2"/>
        </w:numPr>
        <w:spacing w:after="70" w:line="290" w:lineRule="auto"/>
      </w:pPr>
      <w:r>
        <w:t>Identifier les paramètres qui influencent les résultats affichés (langue, localisation, historique, appareil).</w:t>
      </w:r>
    </w:p>
    <w:p w14:paraId="44FFA3BD" w14:textId="77777777" w:rsidR="00772B91" w:rsidRDefault="00431630">
      <w:pPr>
        <w:pStyle w:val="Paragraphedeliste"/>
        <w:numPr>
          <w:ilvl w:val="0"/>
          <w:numId w:val="2"/>
        </w:numPr>
        <w:spacing w:after="70" w:line="290" w:lineRule="auto"/>
      </w:pPr>
      <w:r>
        <w:t>Comprendre que les résultats ne sont pas neutres mais produits par des algorithmes, et qu’ils peuvent comporter des biais.</w:t>
      </w:r>
    </w:p>
    <w:p w14:paraId="1E395783" w14:textId="77777777" w:rsidR="00772B91" w:rsidRDefault="00431630">
      <w:pPr>
        <w:spacing w:after="120" w:line="300" w:lineRule="auto"/>
        <w:jc w:val="both"/>
      </w:pPr>
      <w:r>
        <w:rPr>
          <w:b/>
          <w:bCs/>
        </w:rPr>
        <w:t>Objectifs transversaux :</w:t>
      </w:r>
    </w:p>
    <w:p w14:paraId="18DF0BDE" w14:textId="77777777" w:rsidR="00772B91" w:rsidRDefault="00431630">
      <w:pPr>
        <w:pStyle w:val="Paragraphedeliste"/>
        <w:numPr>
          <w:ilvl w:val="0"/>
          <w:numId w:val="2"/>
        </w:numPr>
        <w:spacing w:after="70" w:line="290" w:lineRule="auto"/>
      </w:pPr>
      <w:r>
        <w:t>Repérer les stéréotypes de genre présents dans les représentations numériques.</w:t>
      </w:r>
    </w:p>
    <w:p w14:paraId="3FD6FDDE" w14:textId="77777777" w:rsidR="00772B91" w:rsidRDefault="00431630">
      <w:pPr>
        <w:pStyle w:val="Paragraphedeliste"/>
        <w:numPr>
          <w:ilvl w:val="0"/>
          <w:numId w:val="2"/>
        </w:numPr>
        <w:spacing w:after="70" w:line="290" w:lineRule="auto"/>
      </w:pPr>
      <w:r>
        <w:t>Comprendre que les moteurs peuvent reproduire ou amplifier des inégalités existantes.</w:t>
      </w:r>
    </w:p>
    <w:p w14:paraId="35D60CA9" w14:textId="77777777" w:rsidR="00772B91" w:rsidRDefault="00431630">
      <w:pPr>
        <w:pStyle w:val="Paragraphedeliste"/>
        <w:numPr>
          <w:ilvl w:val="0"/>
          <w:numId w:val="2"/>
        </w:numPr>
        <w:spacing w:after="70" w:line="290" w:lineRule="auto"/>
      </w:pPr>
      <w:r>
        <w:t>Développer l’esprit critique face aux images et informations en ligne, et relier les usages numériques aux enjeux citoyens (égalité filles-garçons, orientation).</w:t>
      </w:r>
    </w:p>
    <w:p w14:paraId="6FB06F28" w14:textId="77777777" w:rsidR="00772B91" w:rsidRDefault="00431630">
      <w:pPr>
        <w:pStyle w:val="Titre2"/>
      </w:pPr>
      <w:r>
        <w:t>Programme SNT (BO spécial n° 2 du 19 juillet 2019)</w:t>
      </w:r>
    </w:p>
    <w:p w14:paraId="5EA54179" w14:textId="77777777" w:rsidR="00772B91" w:rsidRDefault="00431630">
      <w:pPr>
        <w:spacing w:after="120" w:line="300" w:lineRule="auto"/>
        <w:jc w:val="both"/>
      </w:pPr>
      <w:r>
        <w:t>Thème « Le Web » : fonctionnement d’un moteur de recherche, principes d’indexation et de classement, rôle des algorithmes, mécanismes de personnalisation. Le BO précise que « les résultats affichés par un moteur de recherche dépendent d’algorithmes de classement et peuvent varier selon différents paramètres liés à l’utilisateur ».</w:t>
      </w:r>
    </w:p>
    <w:p w14:paraId="04CDA730" w14:textId="77777777" w:rsidR="00772B91" w:rsidRDefault="00431630">
      <w:pPr>
        <w:spacing w:after="120" w:line="300" w:lineRule="auto"/>
        <w:jc w:val="both"/>
      </w:pPr>
      <w:r>
        <w:t>Thème « Les données » : collecte de données liées à l’utilisateur, exploitation par les services numériques, enjeux sociaux et éthiques associés.</w:t>
      </w:r>
    </w:p>
    <w:p w14:paraId="609382F3" w14:textId="77777777" w:rsidR="00772B91" w:rsidRDefault="00431630">
      <w:pPr>
        <w:spacing w:after="120" w:line="300" w:lineRule="auto"/>
        <w:jc w:val="both"/>
      </w:pPr>
      <w:r>
        <w:rPr>
          <w:i/>
          <w:iCs/>
        </w:rPr>
        <w:t>Compétences CRCN : Domaine 1 (Information et données), Domaine 3 (Création de contenu — regard critique), Domaine 4 (Protection et sécurité — données personnelles, personnalisation).</w:t>
      </w:r>
    </w:p>
    <w:p w14:paraId="16138C0E" w14:textId="77777777" w:rsidR="00772B91" w:rsidRDefault="00431630">
      <w:pPr>
        <w:pStyle w:val="Titre2"/>
      </w:pPr>
      <w:r>
        <w:lastRenderedPageBreak/>
        <w:t>Déroulé proposé</w:t>
      </w:r>
    </w:p>
    <w:tbl>
      <w:tblPr>
        <w:tblW w:w="9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76"/>
        <w:gridCol w:w="1036"/>
        <w:gridCol w:w="2176"/>
        <w:gridCol w:w="4310"/>
      </w:tblGrid>
      <w:tr w:rsidR="00772B91" w14:paraId="0EB65B61" w14:textId="77777777" w:rsidTr="00936FE5">
        <w:trPr>
          <w:trHeight w:val="257"/>
        </w:trPr>
        <w:tc>
          <w:tcPr>
            <w:tcW w:w="2176" w:type="dxa"/>
            <w:tcBorders>
              <w:top w:val="single" w:sz="4" w:space="0" w:color="B0B0B0"/>
              <w:left w:val="single" w:sz="4" w:space="0" w:color="B0B0B0"/>
              <w:bottom w:val="single" w:sz="4" w:space="0" w:color="B0B0B0"/>
              <w:right w:val="single" w:sz="4" w:space="0" w:color="B0B0B0"/>
            </w:tcBorders>
            <w:shd w:val="clear" w:color="auto" w:fill="C9D5E8"/>
            <w:tcMar>
              <w:top w:w="70" w:type="dxa"/>
              <w:left w:w="100" w:type="dxa"/>
              <w:bottom w:w="70" w:type="dxa"/>
              <w:right w:w="100" w:type="dxa"/>
            </w:tcMar>
          </w:tcPr>
          <w:p w14:paraId="06F0BE85" w14:textId="77777777" w:rsidR="00772B91" w:rsidRDefault="00431630">
            <w:r>
              <w:rPr>
                <w:b/>
                <w:bCs/>
                <w:sz w:val="20"/>
                <w:szCs w:val="20"/>
              </w:rPr>
              <w:t>Activité</w:t>
            </w:r>
          </w:p>
        </w:tc>
        <w:tc>
          <w:tcPr>
            <w:tcW w:w="1036" w:type="dxa"/>
            <w:tcBorders>
              <w:top w:val="single" w:sz="4" w:space="0" w:color="B0B0B0"/>
              <w:left w:val="single" w:sz="4" w:space="0" w:color="B0B0B0"/>
              <w:bottom w:val="single" w:sz="4" w:space="0" w:color="B0B0B0"/>
              <w:right w:val="single" w:sz="4" w:space="0" w:color="B0B0B0"/>
            </w:tcBorders>
            <w:shd w:val="clear" w:color="auto" w:fill="C9D5E8"/>
            <w:tcMar>
              <w:top w:w="70" w:type="dxa"/>
              <w:left w:w="100" w:type="dxa"/>
              <w:bottom w:w="70" w:type="dxa"/>
              <w:right w:w="100" w:type="dxa"/>
            </w:tcMar>
          </w:tcPr>
          <w:p w14:paraId="5CC9A817" w14:textId="77777777" w:rsidR="00772B91" w:rsidRDefault="00431630">
            <w:r>
              <w:rPr>
                <w:b/>
                <w:bCs/>
                <w:sz w:val="20"/>
                <w:szCs w:val="20"/>
              </w:rPr>
              <w:t>Durée</w:t>
            </w:r>
          </w:p>
        </w:tc>
        <w:tc>
          <w:tcPr>
            <w:tcW w:w="2176" w:type="dxa"/>
            <w:tcBorders>
              <w:top w:val="single" w:sz="4" w:space="0" w:color="B0B0B0"/>
              <w:left w:val="single" w:sz="4" w:space="0" w:color="B0B0B0"/>
              <w:bottom w:val="single" w:sz="4" w:space="0" w:color="B0B0B0"/>
              <w:right w:val="single" w:sz="4" w:space="0" w:color="B0B0B0"/>
            </w:tcBorders>
            <w:shd w:val="clear" w:color="auto" w:fill="C9D5E8"/>
            <w:tcMar>
              <w:top w:w="70" w:type="dxa"/>
              <w:left w:w="100" w:type="dxa"/>
              <w:bottom w:w="70" w:type="dxa"/>
              <w:right w:w="100" w:type="dxa"/>
            </w:tcMar>
          </w:tcPr>
          <w:p w14:paraId="3F4267E7" w14:textId="77777777" w:rsidR="00772B91" w:rsidRDefault="00431630">
            <w:r>
              <w:rPr>
                <w:b/>
                <w:bCs/>
                <w:sz w:val="20"/>
                <w:szCs w:val="20"/>
              </w:rPr>
              <w:t>Modalité</w:t>
            </w:r>
          </w:p>
        </w:tc>
        <w:tc>
          <w:tcPr>
            <w:tcW w:w="4310" w:type="dxa"/>
            <w:tcBorders>
              <w:top w:val="single" w:sz="4" w:space="0" w:color="B0B0B0"/>
              <w:left w:val="single" w:sz="4" w:space="0" w:color="B0B0B0"/>
              <w:bottom w:val="single" w:sz="4" w:space="0" w:color="B0B0B0"/>
              <w:right w:val="single" w:sz="4" w:space="0" w:color="B0B0B0"/>
            </w:tcBorders>
            <w:shd w:val="clear" w:color="auto" w:fill="C9D5E8"/>
            <w:tcMar>
              <w:top w:w="70" w:type="dxa"/>
              <w:left w:w="100" w:type="dxa"/>
              <w:bottom w:w="70" w:type="dxa"/>
              <w:right w:w="100" w:type="dxa"/>
            </w:tcMar>
          </w:tcPr>
          <w:p w14:paraId="7198D1D2" w14:textId="77777777" w:rsidR="00772B91" w:rsidRDefault="00431630">
            <w:r>
              <w:rPr>
                <w:b/>
                <w:bCs/>
                <w:sz w:val="20"/>
                <w:szCs w:val="20"/>
              </w:rPr>
              <w:t>Contenu</w:t>
            </w:r>
          </w:p>
        </w:tc>
      </w:tr>
      <w:tr w:rsidR="00772B91" w14:paraId="3A772A49" w14:textId="77777777" w:rsidTr="00936FE5">
        <w:trPr>
          <w:trHeight w:val="514"/>
        </w:trPr>
        <w:tc>
          <w:tcPr>
            <w:tcW w:w="2176"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04DC55E9" w14:textId="77777777" w:rsidR="00772B91" w:rsidRDefault="00431630">
            <w:r>
              <w:rPr>
                <w:sz w:val="20"/>
                <w:szCs w:val="20"/>
              </w:rPr>
              <w:t>Activité 1</w:t>
            </w:r>
          </w:p>
        </w:tc>
        <w:tc>
          <w:tcPr>
            <w:tcW w:w="1036"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13D86B91" w14:textId="77777777" w:rsidR="00772B91" w:rsidRDefault="00431630">
            <w:r>
              <w:rPr>
                <w:sz w:val="20"/>
                <w:szCs w:val="20"/>
              </w:rPr>
              <w:t>10 min</w:t>
            </w:r>
          </w:p>
        </w:tc>
        <w:tc>
          <w:tcPr>
            <w:tcW w:w="2176"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70A35BAF" w14:textId="77777777" w:rsidR="00772B91" w:rsidRDefault="00431630">
            <w:r>
              <w:rPr>
                <w:sz w:val="20"/>
                <w:szCs w:val="20"/>
              </w:rPr>
              <w:t>2 groupes</w:t>
            </w:r>
          </w:p>
        </w:tc>
        <w:tc>
          <w:tcPr>
            <w:tcW w:w="4310"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460149C0" w14:textId="77777777" w:rsidR="00772B91" w:rsidRDefault="00431630">
            <w:r>
              <w:rPr>
                <w:sz w:val="20"/>
                <w:szCs w:val="20"/>
              </w:rPr>
              <w:t>Prise de conscience des stéréotypes à partir d’images de métiers.</w:t>
            </w:r>
          </w:p>
        </w:tc>
      </w:tr>
      <w:tr w:rsidR="00772B91" w14:paraId="308595B0" w14:textId="77777777" w:rsidTr="00936FE5">
        <w:trPr>
          <w:trHeight w:val="514"/>
        </w:trPr>
        <w:tc>
          <w:tcPr>
            <w:tcW w:w="2176"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089DFCB4" w14:textId="77777777" w:rsidR="00772B91" w:rsidRDefault="00431630">
            <w:r>
              <w:rPr>
                <w:sz w:val="20"/>
                <w:szCs w:val="20"/>
              </w:rPr>
              <w:t>Activité 2</w:t>
            </w:r>
          </w:p>
        </w:tc>
        <w:tc>
          <w:tcPr>
            <w:tcW w:w="1036"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2FF43220" w14:textId="77777777" w:rsidR="00772B91" w:rsidRDefault="00431630">
            <w:r>
              <w:rPr>
                <w:sz w:val="20"/>
                <w:szCs w:val="20"/>
              </w:rPr>
              <w:t>20 min</w:t>
            </w:r>
          </w:p>
        </w:tc>
        <w:tc>
          <w:tcPr>
            <w:tcW w:w="2176"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4633B9F6" w14:textId="77777777" w:rsidR="00772B91" w:rsidRDefault="00431630">
            <w:r>
              <w:rPr>
                <w:sz w:val="20"/>
                <w:szCs w:val="20"/>
              </w:rPr>
              <w:t>Groupes (1 moteur)</w:t>
            </w:r>
          </w:p>
        </w:tc>
        <w:tc>
          <w:tcPr>
            <w:tcW w:w="4310"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4971DF05" w14:textId="77777777" w:rsidR="00772B91" w:rsidRDefault="00431630">
            <w:r>
              <w:rPr>
                <w:sz w:val="20"/>
                <w:szCs w:val="20"/>
              </w:rPr>
              <w:t>Comptage du genre dans les 20 premières images pour 4 métiers.</w:t>
            </w:r>
          </w:p>
        </w:tc>
      </w:tr>
      <w:tr w:rsidR="00772B91" w14:paraId="3D230E63" w14:textId="77777777" w:rsidTr="00936FE5">
        <w:trPr>
          <w:trHeight w:val="514"/>
        </w:trPr>
        <w:tc>
          <w:tcPr>
            <w:tcW w:w="2176"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0FCC56BC" w14:textId="77777777" w:rsidR="00772B91" w:rsidRDefault="00431630">
            <w:r>
              <w:rPr>
                <w:sz w:val="20"/>
                <w:szCs w:val="20"/>
              </w:rPr>
              <w:t>Activité 3</w:t>
            </w:r>
          </w:p>
        </w:tc>
        <w:tc>
          <w:tcPr>
            <w:tcW w:w="1036"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2D281CF3" w14:textId="77777777" w:rsidR="00772B91" w:rsidRDefault="00431630">
            <w:r>
              <w:rPr>
                <w:sz w:val="20"/>
                <w:szCs w:val="20"/>
              </w:rPr>
              <w:t>20 min</w:t>
            </w:r>
          </w:p>
        </w:tc>
        <w:tc>
          <w:tcPr>
            <w:tcW w:w="2176"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76EB6805" w14:textId="77777777" w:rsidR="00772B91" w:rsidRDefault="00431630">
            <w:r>
              <w:rPr>
                <w:sz w:val="20"/>
                <w:szCs w:val="20"/>
              </w:rPr>
              <w:t>Groupes</w:t>
            </w:r>
          </w:p>
        </w:tc>
        <w:tc>
          <w:tcPr>
            <w:tcW w:w="4310"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40028E8A" w14:textId="77777777" w:rsidR="00772B91" w:rsidRDefault="00431630">
            <w:r>
              <w:rPr>
                <w:sz w:val="20"/>
                <w:szCs w:val="20"/>
              </w:rPr>
              <w:t>Comparaison des résultats selon la langue (FR / EN / SV).</w:t>
            </w:r>
          </w:p>
        </w:tc>
      </w:tr>
      <w:tr w:rsidR="00772B91" w14:paraId="060933FD" w14:textId="77777777" w:rsidTr="00936FE5">
        <w:trPr>
          <w:trHeight w:val="514"/>
        </w:trPr>
        <w:tc>
          <w:tcPr>
            <w:tcW w:w="2176"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04EBC608" w14:textId="77777777" w:rsidR="00772B91" w:rsidRDefault="00431630">
            <w:r>
              <w:rPr>
                <w:sz w:val="20"/>
                <w:szCs w:val="20"/>
              </w:rPr>
              <w:t>Activité 4</w:t>
            </w:r>
          </w:p>
        </w:tc>
        <w:tc>
          <w:tcPr>
            <w:tcW w:w="1036"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6418E11E" w14:textId="77777777" w:rsidR="00772B91" w:rsidRDefault="00431630">
            <w:r>
              <w:rPr>
                <w:sz w:val="20"/>
                <w:szCs w:val="20"/>
              </w:rPr>
              <w:t>20 min</w:t>
            </w:r>
          </w:p>
        </w:tc>
        <w:tc>
          <w:tcPr>
            <w:tcW w:w="2176"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29812F4A" w14:textId="77777777" w:rsidR="00772B91" w:rsidRDefault="00431630">
            <w:r>
              <w:rPr>
                <w:sz w:val="20"/>
                <w:szCs w:val="20"/>
              </w:rPr>
              <w:t>Classe entière</w:t>
            </w:r>
          </w:p>
        </w:tc>
        <w:tc>
          <w:tcPr>
            <w:tcW w:w="4310"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5BFFF93B" w14:textId="77777777" w:rsidR="00772B91" w:rsidRDefault="00431630">
            <w:r>
              <w:rPr>
                <w:sz w:val="20"/>
                <w:szCs w:val="20"/>
              </w:rPr>
              <w:t>Personnalisation des résultats : 5 situations + débat.</w:t>
            </w:r>
          </w:p>
        </w:tc>
      </w:tr>
      <w:tr w:rsidR="00772B91" w14:paraId="369D9FB0" w14:textId="77777777" w:rsidTr="00936FE5">
        <w:trPr>
          <w:trHeight w:val="514"/>
        </w:trPr>
        <w:tc>
          <w:tcPr>
            <w:tcW w:w="2176"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2A1C2570" w14:textId="77777777" w:rsidR="00772B91" w:rsidRDefault="00431630">
            <w:r>
              <w:rPr>
                <w:sz w:val="20"/>
                <w:szCs w:val="20"/>
              </w:rPr>
              <w:t>Activité 5</w:t>
            </w:r>
          </w:p>
        </w:tc>
        <w:tc>
          <w:tcPr>
            <w:tcW w:w="1036"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14D4F9D4" w14:textId="77777777" w:rsidR="00772B91" w:rsidRDefault="00431630">
            <w:r>
              <w:rPr>
                <w:sz w:val="20"/>
                <w:szCs w:val="20"/>
              </w:rPr>
              <w:t>30 min</w:t>
            </w:r>
          </w:p>
        </w:tc>
        <w:tc>
          <w:tcPr>
            <w:tcW w:w="2176"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49810013" w14:textId="77777777" w:rsidR="00772B91" w:rsidRDefault="00431630">
            <w:r>
              <w:rPr>
                <w:sz w:val="20"/>
                <w:szCs w:val="20"/>
              </w:rPr>
              <w:t>Binômes / classe</w:t>
            </w:r>
          </w:p>
        </w:tc>
        <w:tc>
          <w:tcPr>
            <w:tcW w:w="4310" w:type="dxa"/>
            <w:tcBorders>
              <w:top w:val="single" w:sz="4" w:space="0" w:color="B0B0B0"/>
              <w:left w:val="single" w:sz="4" w:space="0" w:color="B0B0B0"/>
              <w:bottom w:val="single" w:sz="4" w:space="0" w:color="B0B0B0"/>
              <w:right w:val="single" w:sz="4" w:space="0" w:color="B0B0B0"/>
            </w:tcBorders>
            <w:tcMar>
              <w:top w:w="70" w:type="dxa"/>
              <w:left w:w="100" w:type="dxa"/>
              <w:bottom w:w="70" w:type="dxa"/>
              <w:right w:w="100" w:type="dxa"/>
            </w:tcMar>
          </w:tcPr>
          <w:p w14:paraId="74ECAC5F" w14:textId="77777777" w:rsidR="00772B91" w:rsidRDefault="00431630">
            <w:r>
              <w:rPr>
                <w:sz w:val="20"/>
                <w:szCs w:val="20"/>
              </w:rPr>
              <w:t>Analyse de 3 graphiques UNESCO sur les femmes en science.</w:t>
            </w:r>
          </w:p>
        </w:tc>
      </w:tr>
    </w:tbl>
    <w:p w14:paraId="5E349B41" w14:textId="77777777" w:rsidR="003231C2" w:rsidRDefault="003231C2" w:rsidP="003231C2"/>
    <w:p w14:paraId="2CB767F3" w14:textId="6BF2D725" w:rsidR="00772B91" w:rsidRDefault="00431630" w:rsidP="003231C2">
      <w:r>
        <w:rPr>
          <w:b/>
          <w:bCs/>
          <w:color w:val="1F3864"/>
          <w:sz w:val="30"/>
          <w:szCs w:val="30"/>
        </w:rPr>
        <w:t>2. Corrigé et notes pédagogiques</w:t>
      </w:r>
    </w:p>
    <w:p w14:paraId="131B9558" w14:textId="77777777" w:rsidR="00772B91" w:rsidRDefault="00431630">
      <w:pPr>
        <w:pStyle w:val="Titre2"/>
      </w:pPr>
      <w:r>
        <w:t>Activité 1 — Prendre conscience</w:t>
      </w:r>
    </w:p>
    <w:p w14:paraId="243D100F" w14:textId="77777777" w:rsidR="00772B91" w:rsidRDefault="00431630">
      <w:pPr>
        <w:spacing w:after="120" w:line="300" w:lineRule="auto"/>
        <w:jc w:val="both"/>
      </w:pPr>
      <w:r>
        <w:t>Objectifs : faire émerger les stéréotypes de genre associés aux métiers ; montrer que la perception peut être influencée par le genre ; développer l’esprit critique.</w:t>
      </w:r>
    </w:p>
    <w:p w14:paraId="559DE70A" w14:textId="77777777" w:rsidR="00772B91" w:rsidRDefault="00431630">
      <w:pPr>
        <w:spacing w:after="120" w:line="300" w:lineRule="auto"/>
        <w:jc w:val="both"/>
      </w:pPr>
      <w:r>
        <w:rPr>
          <w:b/>
          <w:bCs/>
          <w:i/>
          <w:iCs/>
          <w:color w:val="606060"/>
          <w:sz w:val="21"/>
          <w:szCs w:val="21"/>
        </w:rPr>
        <w:t xml:space="preserve">Note pédagogique : </w:t>
      </w:r>
      <w:r>
        <w:rPr>
          <w:i/>
          <w:iCs/>
          <w:color w:val="606060"/>
          <w:sz w:val="21"/>
          <w:szCs w:val="21"/>
        </w:rPr>
        <w:t>Les images peuvent être tirées de l’émission « Sommes-nous tous sexistes ? » (France TV). L’objectif n’est pas de juger les réponses des élèves, mais de montrer que des représentations sociales influencent automatiquement et souvent inconsciemment notre perception des métiers. Insister : les stéréotypes ne sont ni toujours conscients ni volontaires.</w:t>
      </w:r>
    </w:p>
    <w:p w14:paraId="25B55170" w14:textId="77777777" w:rsidR="00772B91" w:rsidRDefault="00431630">
      <w:pPr>
        <w:spacing w:after="120" w:line="300" w:lineRule="auto"/>
        <w:jc w:val="both"/>
      </w:pPr>
      <w:r>
        <w:rPr>
          <w:b/>
          <w:bCs/>
          <w:color w:val="1F6B3F"/>
        </w:rPr>
        <w:t xml:space="preserve">Réponse attendue : </w:t>
      </w:r>
      <w:r>
        <w:t>Lors de la mise en commun, les deux groupes ont souvent attribué des métiers différents aux mêmes professions selon le genre de la personne représentée (ex. « infirmière » pour une femme, « médecin » pour un homme). Cela montre que le genre influence la perception, et que ces associations viennent de la société, des médias et d’Internet.</w:t>
      </w:r>
    </w:p>
    <w:p w14:paraId="3801F142" w14:textId="77777777" w:rsidR="00772B91" w:rsidRDefault="00431630">
      <w:pPr>
        <w:pStyle w:val="Titre2"/>
      </w:pPr>
      <w:r>
        <w:t>Activité 2 — Observer et quantifier</w:t>
      </w:r>
    </w:p>
    <w:p w14:paraId="3D9133F7" w14:textId="77777777" w:rsidR="00772B91" w:rsidRDefault="00431630">
      <w:pPr>
        <w:spacing w:after="120" w:line="300" w:lineRule="auto"/>
        <w:jc w:val="both"/>
      </w:pPr>
      <w:r>
        <w:t>Les élèves comptent, parmi les 20 premières images, le nombre d’hommes et de femmes pour 4 métiers, puis calculent le pourcentage de femmes.</w:t>
      </w:r>
    </w:p>
    <w:p w14:paraId="06834D0C" w14:textId="77777777" w:rsidR="00772B91" w:rsidRDefault="00431630">
      <w:pPr>
        <w:spacing w:before="150" w:after="70"/>
      </w:pPr>
      <w:r>
        <w:rPr>
          <w:b/>
          <w:bCs/>
          <w:color w:val="404040"/>
        </w:rPr>
        <w:t>Résultats observés (synthèse des relevés de la classe)</w:t>
      </w:r>
    </w:p>
    <w:p w14:paraId="762F6F51" w14:textId="77777777" w:rsidR="00772B91" w:rsidRDefault="00431630">
      <w:pPr>
        <w:spacing w:after="120" w:line="300" w:lineRule="auto"/>
        <w:jc w:val="both"/>
      </w:pPr>
      <w:r>
        <w:t xml:space="preserve">Les chiffres ci-dessous sont la moyenne des relevés effectués sur l’ensemble des moteurs testés (Google, Bing, </w:t>
      </w:r>
      <w:proofErr w:type="spellStart"/>
      <w:r>
        <w:t>Qwant</w:t>
      </w:r>
      <w:proofErr w:type="spellEnd"/>
      <w:r>
        <w:t xml:space="preserve">, </w:t>
      </w:r>
      <w:proofErr w:type="spellStart"/>
      <w:r>
        <w:t>DuckDuckGo</w:t>
      </w:r>
      <w:proofErr w:type="spellEnd"/>
      <w:r>
        <w:t xml:space="preserve">, </w:t>
      </w:r>
      <w:proofErr w:type="spellStart"/>
      <w:r>
        <w:t>Yandex</w:t>
      </w:r>
      <w:proofErr w:type="spellEnd"/>
      <w:r>
        <w:t>, Brave). Ils servent de repère ; les valeurs varient d’un moteur et d’un jour à l’autre.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2880"/>
        <w:gridCol w:w="3480"/>
      </w:tblGrid>
      <w:tr w:rsidR="00772B91" w14:paraId="70EFA16F" w14:textId="77777777">
        <w:tc>
          <w:tcPr>
            <w:tcW w:w="3000" w:type="dxa"/>
            <w:tcBorders>
              <w:top w:val="single" w:sz="4" w:space="0" w:color="B0B0B0"/>
              <w:left w:val="single" w:sz="4" w:space="0" w:color="B0B0B0"/>
              <w:bottom w:val="single" w:sz="4" w:space="0" w:color="B0B0B0"/>
              <w:right w:val="single" w:sz="4" w:space="0" w:color="B0B0B0"/>
            </w:tcBorders>
            <w:shd w:val="clear" w:color="auto" w:fill="C9E5D4"/>
            <w:tcMar>
              <w:top w:w="70" w:type="dxa"/>
              <w:left w:w="90" w:type="dxa"/>
              <w:bottom w:w="70" w:type="dxa"/>
              <w:right w:w="90" w:type="dxa"/>
            </w:tcMar>
          </w:tcPr>
          <w:p w14:paraId="14CE6BD7" w14:textId="77777777" w:rsidR="00772B91" w:rsidRDefault="00431630">
            <w:r>
              <w:rPr>
                <w:b/>
                <w:bCs/>
                <w:sz w:val="20"/>
                <w:szCs w:val="20"/>
              </w:rPr>
              <w:t>Métier</w:t>
            </w:r>
          </w:p>
        </w:tc>
        <w:tc>
          <w:tcPr>
            <w:tcW w:w="2880" w:type="dxa"/>
            <w:tcBorders>
              <w:top w:val="single" w:sz="4" w:space="0" w:color="B0B0B0"/>
              <w:left w:val="single" w:sz="4" w:space="0" w:color="B0B0B0"/>
              <w:bottom w:val="single" w:sz="4" w:space="0" w:color="B0B0B0"/>
              <w:right w:val="single" w:sz="4" w:space="0" w:color="B0B0B0"/>
            </w:tcBorders>
            <w:shd w:val="clear" w:color="auto" w:fill="C9E5D4"/>
            <w:tcMar>
              <w:top w:w="70" w:type="dxa"/>
              <w:left w:w="90" w:type="dxa"/>
              <w:bottom w:w="70" w:type="dxa"/>
              <w:right w:w="90" w:type="dxa"/>
            </w:tcMar>
          </w:tcPr>
          <w:p w14:paraId="4E0BE2DC" w14:textId="77777777" w:rsidR="00772B91" w:rsidRDefault="00431630">
            <w:r>
              <w:rPr>
                <w:b/>
                <w:bCs/>
                <w:sz w:val="20"/>
                <w:szCs w:val="20"/>
              </w:rPr>
              <w:t>% femmes moyen</w:t>
            </w:r>
          </w:p>
        </w:tc>
        <w:tc>
          <w:tcPr>
            <w:tcW w:w="3480" w:type="dxa"/>
            <w:tcBorders>
              <w:top w:val="single" w:sz="4" w:space="0" w:color="B0B0B0"/>
              <w:left w:val="single" w:sz="4" w:space="0" w:color="B0B0B0"/>
              <w:bottom w:val="single" w:sz="4" w:space="0" w:color="B0B0B0"/>
              <w:right w:val="single" w:sz="4" w:space="0" w:color="B0B0B0"/>
            </w:tcBorders>
            <w:shd w:val="clear" w:color="auto" w:fill="C9E5D4"/>
            <w:tcMar>
              <w:top w:w="70" w:type="dxa"/>
              <w:left w:w="90" w:type="dxa"/>
              <w:bottom w:w="70" w:type="dxa"/>
              <w:right w:w="90" w:type="dxa"/>
            </w:tcMar>
          </w:tcPr>
          <w:p w14:paraId="390ADDE6" w14:textId="77777777" w:rsidR="00772B91" w:rsidRDefault="00431630">
            <w:r>
              <w:rPr>
                <w:b/>
                <w:bCs/>
                <w:sz w:val="20"/>
                <w:szCs w:val="20"/>
              </w:rPr>
              <w:t>Fourchette observée</w:t>
            </w:r>
          </w:p>
        </w:tc>
      </w:tr>
      <w:tr w:rsidR="00772B91" w14:paraId="213F12D8" w14:textId="77777777">
        <w:tc>
          <w:tcPr>
            <w:tcW w:w="3000" w:type="dxa"/>
            <w:tcBorders>
              <w:top w:val="single" w:sz="4" w:space="0" w:color="B0B0B0"/>
              <w:left w:val="single" w:sz="4" w:space="0" w:color="B0B0B0"/>
              <w:bottom w:val="single" w:sz="4" w:space="0" w:color="B0B0B0"/>
              <w:right w:val="single" w:sz="4" w:space="0" w:color="B0B0B0"/>
            </w:tcBorders>
            <w:tcMar>
              <w:top w:w="60" w:type="dxa"/>
              <w:left w:w="90" w:type="dxa"/>
              <w:bottom w:w="60" w:type="dxa"/>
              <w:right w:w="90" w:type="dxa"/>
            </w:tcMar>
          </w:tcPr>
          <w:p w14:paraId="34111A35" w14:textId="77777777" w:rsidR="00772B91" w:rsidRDefault="00431630">
            <w:r>
              <w:rPr>
                <w:sz w:val="20"/>
                <w:szCs w:val="20"/>
              </w:rPr>
              <w:t>Ingénieur</w:t>
            </w:r>
          </w:p>
        </w:tc>
        <w:tc>
          <w:tcPr>
            <w:tcW w:w="2880" w:type="dxa"/>
            <w:tcBorders>
              <w:top w:val="single" w:sz="4" w:space="0" w:color="B0B0B0"/>
              <w:left w:val="single" w:sz="4" w:space="0" w:color="B0B0B0"/>
              <w:bottom w:val="single" w:sz="4" w:space="0" w:color="B0B0B0"/>
              <w:right w:val="single" w:sz="4" w:space="0" w:color="B0B0B0"/>
            </w:tcBorders>
            <w:tcMar>
              <w:top w:w="60" w:type="dxa"/>
              <w:left w:w="90" w:type="dxa"/>
              <w:bottom w:w="60" w:type="dxa"/>
              <w:right w:w="90" w:type="dxa"/>
            </w:tcMar>
          </w:tcPr>
          <w:p w14:paraId="0F2738E6" w14:textId="77777777" w:rsidR="00772B91" w:rsidRDefault="00431630">
            <w:r>
              <w:rPr>
                <w:sz w:val="20"/>
                <w:szCs w:val="20"/>
              </w:rPr>
              <w:t>≈ 22 %</w:t>
            </w:r>
          </w:p>
        </w:tc>
        <w:tc>
          <w:tcPr>
            <w:tcW w:w="3480" w:type="dxa"/>
            <w:tcBorders>
              <w:top w:val="single" w:sz="4" w:space="0" w:color="B0B0B0"/>
              <w:left w:val="single" w:sz="4" w:space="0" w:color="B0B0B0"/>
              <w:bottom w:val="single" w:sz="4" w:space="0" w:color="B0B0B0"/>
              <w:right w:val="single" w:sz="4" w:space="0" w:color="B0B0B0"/>
            </w:tcBorders>
            <w:tcMar>
              <w:top w:w="60" w:type="dxa"/>
              <w:left w:w="90" w:type="dxa"/>
              <w:bottom w:w="60" w:type="dxa"/>
              <w:right w:w="90" w:type="dxa"/>
            </w:tcMar>
          </w:tcPr>
          <w:p w14:paraId="6EBE9AA1" w14:textId="77777777" w:rsidR="00772B91" w:rsidRDefault="00431630">
            <w:r>
              <w:rPr>
                <w:sz w:val="20"/>
                <w:szCs w:val="20"/>
              </w:rPr>
              <w:t>10 % à 40 %</w:t>
            </w:r>
          </w:p>
        </w:tc>
      </w:tr>
      <w:tr w:rsidR="00772B91" w14:paraId="7C85C724" w14:textId="77777777">
        <w:tc>
          <w:tcPr>
            <w:tcW w:w="3000" w:type="dxa"/>
            <w:tcBorders>
              <w:top w:val="single" w:sz="4" w:space="0" w:color="B0B0B0"/>
              <w:left w:val="single" w:sz="4" w:space="0" w:color="B0B0B0"/>
              <w:bottom w:val="single" w:sz="4" w:space="0" w:color="B0B0B0"/>
              <w:right w:val="single" w:sz="4" w:space="0" w:color="B0B0B0"/>
            </w:tcBorders>
            <w:tcMar>
              <w:top w:w="60" w:type="dxa"/>
              <w:left w:w="90" w:type="dxa"/>
              <w:bottom w:w="60" w:type="dxa"/>
              <w:right w:w="90" w:type="dxa"/>
            </w:tcMar>
          </w:tcPr>
          <w:p w14:paraId="0BC2A1CB" w14:textId="77777777" w:rsidR="00772B91" w:rsidRDefault="00431630">
            <w:r>
              <w:rPr>
                <w:sz w:val="20"/>
                <w:szCs w:val="20"/>
              </w:rPr>
              <w:t>Infirmier</w:t>
            </w:r>
          </w:p>
        </w:tc>
        <w:tc>
          <w:tcPr>
            <w:tcW w:w="2880" w:type="dxa"/>
            <w:tcBorders>
              <w:top w:val="single" w:sz="4" w:space="0" w:color="B0B0B0"/>
              <w:left w:val="single" w:sz="4" w:space="0" w:color="B0B0B0"/>
              <w:bottom w:val="single" w:sz="4" w:space="0" w:color="B0B0B0"/>
              <w:right w:val="single" w:sz="4" w:space="0" w:color="B0B0B0"/>
            </w:tcBorders>
            <w:tcMar>
              <w:top w:w="60" w:type="dxa"/>
              <w:left w:w="90" w:type="dxa"/>
              <w:bottom w:w="60" w:type="dxa"/>
              <w:right w:w="90" w:type="dxa"/>
            </w:tcMar>
          </w:tcPr>
          <w:p w14:paraId="44C59A80" w14:textId="77777777" w:rsidR="00772B91" w:rsidRDefault="00431630">
            <w:r>
              <w:rPr>
                <w:sz w:val="20"/>
                <w:szCs w:val="20"/>
              </w:rPr>
              <w:t>≈ 74 %</w:t>
            </w:r>
          </w:p>
        </w:tc>
        <w:tc>
          <w:tcPr>
            <w:tcW w:w="3480" w:type="dxa"/>
            <w:tcBorders>
              <w:top w:val="single" w:sz="4" w:space="0" w:color="B0B0B0"/>
              <w:left w:val="single" w:sz="4" w:space="0" w:color="B0B0B0"/>
              <w:bottom w:val="single" w:sz="4" w:space="0" w:color="B0B0B0"/>
              <w:right w:val="single" w:sz="4" w:space="0" w:color="B0B0B0"/>
            </w:tcBorders>
            <w:tcMar>
              <w:top w:w="60" w:type="dxa"/>
              <w:left w:w="90" w:type="dxa"/>
              <w:bottom w:w="60" w:type="dxa"/>
              <w:right w:w="90" w:type="dxa"/>
            </w:tcMar>
          </w:tcPr>
          <w:p w14:paraId="6BC4EB5A" w14:textId="77777777" w:rsidR="00772B91" w:rsidRDefault="00431630">
            <w:r>
              <w:rPr>
                <w:sz w:val="20"/>
                <w:szCs w:val="20"/>
              </w:rPr>
              <w:t>65 % à 90 %</w:t>
            </w:r>
          </w:p>
        </w:tc>
      </w:tr>
      <w:tr w:rsidR="00772B91" w14:paraId="6DAC608E" w14:textId="77777777">
        <w:tc>
          <w:tcPr>
            <w:tcW w:w="3000" w:type="dxa"/>
            <w:tcBorders>
              <w:top w:val="single" w:sz="4" w:space="0" w:color="B0B0B0"/>
              <w:left w:val="single" w:sz="4" w:space="0" w:color="B0B0B0"/>
              <w:bottom w:val="single" w:sz="4" w:space="0" w:color="B0B0B0"/>
              <w:right w:val="single" w:sz="4" w:space="0" w:color="B0B0B0"/>
            </w:tcBorders>
            <w:tcMar>
              <w:top w:w="60" w:type="dxa"/>
              <w:left w:w="90" w:type="dxa"/>
              <w:bottom w:w="60" w:type="dxa"/>
              <w:right w:w="90" w:type="dxa"/>
            </w:tcMar>
          </w:tcPr>
          <w:p w14:paraId="33359C33" w14:textId="77777777" w:rsidR="00772B91" w:rsidRDefault="00431630">
            <w:r>
              <w:rPr>
                <w:sz w:val="20"/>
                <w:szCs w:val="20"/>
              </w:rPr>
              <w:t>PDG</w:t>
            </w:r>
          </w:p>
        </w:tc>
        <w:tc>
          <w:tcPr>
            <w:tcW w:w="2880" w:type="dxa"/>
            <w:tcBorders>
              <w:top w:val="single" w:sz="4" w:space="0" w:color="B0B0B0"/>
              <w:left w:val="single" w:sz="4" w:space="0" w:color="B0B0B0"/>
              <w:bottom w:val="single" w:sz="4" w:space="0" w:color="B0B0B0"/>
              <w:right w:val="single" w:sz="4" w:space="0" w:color="B0B0B0"/>
            </w:tcBorders>
            <w:tcMar>
              <w:top w:w="60" w:type="dxa"/>
              <w:left w:w="90" w:type="dxa"/>
              <w:bottom w:w="60" w:type="dxa"/>
              <w:right w:w="90" w:type="dxa"/>
            </w:tcMar>
          </w:tcPr>
          <w:p w14:paraId="2AB62E90" w14:textId="77777777" w:rsidR="00772B91" w:rsidRDefault="00431630">
            <w:r>
              <w:rPr>
                <w:sz w:val="20"/>
                <w:szCs w:val="20"/>
              </w:rPr>
              <w:t>≈ 13 %</w:t>
            </w:r>
          </w:p>
        </w:tc>
        <w:tc>
          <w:tcPr>
            <w:tcW w:w="3480" w:type="dxa"/>
            <w:tcBorders>
              <w:top w:val="single" w:sz="4" w:space="0" w:color="B0B0B0"/>
              <w:left w:val="single" w:sz="4" w:space="0" w:color="B0B0B0"/>
              <w:bottom w:val="single" w:sz="4" w:space="0" w:color="B0B0B0"/>
              <w:right w:val="single" w:sz="4" w:space="0" w:color="B0B0B0"/>
            </w:tcBorders>
            <w:tcMar>
              <w:top w:w="60" w:type="dxa"/>
              <w:left w:w="90" w:type="dxa"/>
              <w:bottom w:w="60" w:type="dxa"/>
              <w:right w:w="90" w:type="dxa"/>
            </w:tcMar>
          </w:tcPr>
          <w:p w14:paraId="2A252294" w14:textId="77777777" w:rsidR="00772B91" w:rsidRDefault="00431630">
            <w:r>
              <w:rPr>
                <w:sz w:val="20"/>
                <w:szCs w:val="20"/>
              </w:rPr>
              <w:t>10 % à 20 %</w:t>
            </w:r>
          </w:p>
        </w:tc>
      </w:tr>
      <w:tr w:rsidR="00772B91" w14:paraId="31699413" w14:textId="77777777">
        <w:tc>
          <w:tcPr>
            <w:tcW w:w="3000" w:type="dxa"/>
            <w:tcBorders>
              <w:top w:val="single" w:sz="4" w:space="0" w:color="B0B0B0"/>
              <w:left w:val="single" w:sz="4" w:space="0" w:color="B0B0B0"/>
              <w:bottom w:val="single" w:sz="4" w:space="0" w:color="B0B0B0"/>
              <w:right w:val="single" w:sz="4" w:space="0" w:color="B0B0B0"/>
            </w:tcBorders>
            <w:tcMar>
              <w:top w:w="60" w:type="dxa"/>
              <w:left w:w="90" w:type="dxa"/>
              <w:bottom w:w="60" w:type="dxa"/>
              <w:right w:w="90" w:type="dxa"/>
            </w:tcMar>
          </w:tcPr>
          <w:p w14:paraId="09010ACB" w14:textId="77777777" w:rsidR="00772B91" w:rsidRDefault="00431630">
            <w:r>
              <w:rPr>
                <w:sz w:val="20"/>
                <w:szCs w:val="20"/>
              </w:rPr>
              <w:t>Développeur</w:t>
            </w:r>
          </w:p>
        </w:tc>
        <w:tc>
          <w:tcPr>
            <w:tcW w:w="2880" w:type="dxa"/>
            <w:tcBorders>
              <w:top w:val="single" w:sz="4" w:space="0" w:color="B0B0B0"/>
              <w:left w:val="single" w:sz="4" w:space="0" w:color="B0B0B0"/>
              <w:bottom w:val="single" w:sz="4" w:space="0" w:color="B0B0B0"/>
              <w:right w:val="single" w:sz="4" w:space="0" w:color="B0B0B0"/>
            </w:tcBorders>
            <w:tcMar>
              <w:top w:w="60" w:type="dxa"/>
              <w:left w:w="90" w:type="dxa"/>
              <w:bottom w:w="60" w:type="dxa"/>
              <w:right w:w="90" w:type="dxa"/>
            </w:tcMar>
          </w:tcPr>
          <w:p w14:paraId="0807D41C" w14:textId="77777777" w:rsidR="00772B91" w:rsidRDefault="00431630">
            <w:r>
              <w:rPr>
                <w:sz w:val="20"/>
                <w:szCs w:val="20"/>
              </w:rPr>
              <w:t>≈ 27 %</w:t>
            </w:r>
          </w:p>
        </w:tc>
        <w:tc>
          <w:tcPr>
            <w:tcW w:w="3480" w:type="dxa"/>
            <w:tcBorders>
              <w:top w:val="single" w:sz="4" w:space="0" w:color="B0B0B0"/>
              <w:left w:val="single" w:sz="4" w:space="0" w:color="B0B0B0"/>
              <w:bottom w:val="single" w:sz="4" w:space="0" w:color="B0B0B0"/>
              <w:right w:val="single" w:sz="4" w:space="0" w:color="B0B0B0"/>
            </w:tcBorders>
            <w:tcMar>
              <w:top w:w="60" w:type="dxa"/>
              <w:left w:w="90" w:type="dxa"/>
              <w:bottom w:w="60" w:type="dxa"/>
              <w:right w:w="90" w:type="dxa"/>
            </w:tcMar>
          </w:tcPr>
          <w:p w14:paraId="2F60D8CA" w14:textId="77777777" w:rsidR="00772B91" w:rsidRDefault="00431630">
            <w:r>
              <w:rPr>
                <w:sz w:val="20"/>
                <w:szCs w:val="20"/>
              </w:rPr>
              <w:t>0 % à 90 %</w:t>
            </w:r>
          </w:p>
        </w:tc>
      </w:tr>
    </w:tbl>
    <w:p w14:paraId="3A627CD0" w14:textId="77777777" w:rsidR="00772B91" w:rsidRDefault="00431630">
      <w:pPr>
        <w:spacing w:before="130" w:after="50" w:line="290" w:lineRule="auto"/>
      </w:pPr>
      <w:r>
        <w:rPr>
          <w:b/>
          <w:bCs/>
          <w:color w:val="1F3864"/>
        </w:rPr>
        <w:t>4. Les résultats sont-ils équilibrés ? Pourquoi ?</w:t>
      </w:r>
    </w:p>
    <w:p w14:paraId="6F5AFE38" w14:textId="77777777" w:rsidR="00772B91" w:rsidRDefault="00431630">
      <w:pPr>
        <w:spacing w:after="120" w:line="300" w:lineRule="auto"/>
        <w:jc w:val="both"/>
      </w:pPr>
      <w:r>
        <w:rPr>
          <w:b/>
          <w:bCs/>
          <w:color w:val="1F6B3F"/>
        </w:rPr>
        <w:t xml:space="preserve">Réponse attendue : </w:t>
      </w:r>
      <w:r>
        <w:t>Non. Les images sur-représentent fortement les hommes pour « ingénieur », « PDG » et « développeur », et les femmes pour « infirmier ». Les résultats reflètent et renforcent les stéréotypes de genre associés à ces métiers : le moteur affiche en priorité les images les plus fréquentes sur le Web, qui sont elles-mêmes déjà stéréotypées.</w:t>
      </w:r>
    </w:p>
    <w:p w14:paraId="10D78F33" w14:textId="77777777" w:rsidR="00772B91" w:rsidRDefault="00431630">
      <w:pPr>
        <w:spacing w:before="130" w:after="50" w:line="290" w:lineRule="auto"/>
      </w:pPr>
      <w:r>
        <w:rPr>
          <w:b/>
          <w:bCs/>
          <w:color w:val="1F3864"/>
        </w:rPr>
        <w:lastRenderedPageBreak/>
        <w:t>5. Le moteur est-il neutre ? Justifiez.</w:t>
      </w:r>
    </w:p>
    <w:p w14:paraId="389D5DE3" w14:textId="77777777" w:rsidR="00772B91" w:rsidRDefault="00431630">
      <w:pPr>
        <w:spacing w:after="120" w:line="300" w:lineRule="auto"/>
        <w:jc w:val="both"/>
      </w:pPr>
      <w:r>
        <w:rPr>
          <w:b/>
          <w:bCs/>
          <w:color w:val="1F6B3F"/>
        </w:rPr>
        <w:t xml:space="preserve">Réponse attendue : </w:t>
      </w:r>
      <w:r>
        <w:t>Non. Le moteur ne « choisit » pas d’être sexiste, mais son algorithme classe les images selon leur fréquence et leur popularité sur le Web. Comme le Web contient déjà des représentations stéréotypées, le moteur les reproduit, voire les amplifie. Il n’offre donc pas une vision neutre du monde.</w:t>
      </w:r>
    </w:p>
    <w:p w14:paraId="08279673" w14:textId="77777777" w:rsidR="00772B91" w:rsidRDefault="00431630">
      <w:pPr>
        <w:spacing w:after="120" w:line="300" w:lineRule="auto"/>
        <w:jc w:val="both"/>
      </w:pPr>
      <w:r>
        <w:rPr>
          <w:b/>
          <w:bCs/>
          <w:i/>
          <w:iCs/>
          <w:color w:val="606060"/>
          <w:sz w:val="21"/>
          <w:szCs w:val="21"/>
        </w:rPr>
        <w:t xml:space="preserve">Note pédagogique : </w:t>
      </w:r>
      <w:r>
        <w:rPr>
          <w:i/>
          <w:iCs/>
          <w:color w:val="606060"/>
          <w:sz w:val="21"/>
          <w:szCs w:val="21"/>
        </w:rPr>
        <w:t xml:space="preserve">Faire remarquer la variabilité entre moteurs (ex. « développeur » va de 0 % de femmes sur Brave à 90 % sur </w:t>
      </w:r>
      <w:proofErr w:type="spellStart"/>
      <w:r>
        <w:rPr>
          <w:i/>
          <w:iCs/>
          <w:color w:val="606060"/>
          <w:sz w:val="21"/>
          <w:szCs w:val="21"/>
        </w:rPr>
        <w:t>DuckDuckGo</w:t>
      </w:r>
      <w:proofErr w:type="spellEnd"/>
      <w:r>
        <w:rPr>
          <w:i/>
          <w:iCs/>
          <w:color w:val="606060"/>
          <w:sz w:val="21"/>
          <w:szCs w:val="21"/>
        </w:rPr>
        <w:t xml:space="preserve"> dans les relevés) : cela montre que le classement dépend de l’algorithme et de l’index propres à chaque moteur. C’est une excellente transition vers l’idée que « le » résultat neutre n’existe pas.</w:t>
      </w:r>
    </w:p>
    <w:p w14:paraId="71C36A1A" w14:textId="77777777" w:rsidR="00772B91" w:rsidRDefault="00431630">
      <w:pPr>
        <w:pStyle w:val="Titre2"/>
      </w:pPr>
      <w:r>
        <w:t>Activité 3 — Les résultats changent-ils selon la langue ?</w:t>
      </w:r>
    </w:p>
    <w:p w14:paraId="70CA6DB7" w14:textId="77777777" w:rsidR="00772B91" w:rsidRDefault="00431630">
      <w:pPr>
        <w:spacing w:after="120" w:line="300" w:lineRule="auto"/>
        <w:jc w:val="both"/>
      </w:pPr>
      <w:r>
        <w:t xml:space="preserve">Les élèves comparent « ingénieur » (FR), « </w:t>
      </w:r>
      <w:proofErr w:type="spellStart"/>
      <w:r>
        <w:t>engineer</w:t>
      </w:r>
      <w:proofErr w:type="spellEnd"/>
      <w:r>
        <w:t xml:space="preserve"> » (EN) et « </w:t>
      </w:r>
      <w:proofErr w:type="spellStart"/>
      <w:r>
        <w:t>ingenjör</w:t>
      </w:r>
      <w:proofErr w:type="spellEnd"/>
      <w:r>
        <w:t xml:space="preserve"> » (SV).</w:t>
      </w:r>
    </w:p>
    <w:p w14:paraId="20DFF281" w14:textId="77777777" w:rsidR="00772B91" w:rsidRDefault="00431630">
      <w:pPr>
        <w:spacing w:before="150" w:after="70"/>
      </w:pPr>
      <w:r>
        <w:rPr>
          <w:b/>
          <w:bCs/>
          <w:color w:val="404040"/>
        </w:rPr>
        <w:t>Résultats observés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2320"/>
        <w:gridCol w:w="2320"/>
        <w:gridCol w:w="2320"/>
      </w:tblGrid>
      <w:tr w:rsidR="00772B91" w14:paraId="3D408B35" w14:textId="77777777">
        <w:tc>
          <w:tcPr>
            <w:tcW w:w="2400" w:type="dxa"/>
            <w:tcBorders>
              <w:top w:val="single" w:sz="4" w:space="0" w:color="B0B0B0"/>
              <w:left w:val="single" w:sz="4" w:space="0" w:color="B0B0B0"/>
              <w:bottom w:val="single" w:sz="4" w:space="0" w:color="B0B0B0"/>
              <w:right w:val="single" w:sz="4" w:space="0" w:color="B0B0B0"/>
            </w:tcBorders>
            <w:shd w:val="clear" w:color="auto" w:fill="C9E5D4"/>
            <w:tcMar>
              <w:top w:w="70" w:type="dxa"/>
              <w:left w:w="90" w:type="dxa"/>
              <w:bottom w:w="70" w:type="dxa"/>
              <w:right w:w="90" w:type="dxa"/>
            </w:tcMar>
          </w:tcPr>
          <w:p w14:paraId="4A66FD6E" w14:textId="77777777" w:rsidR="00772B91" w:rsidRDefault="00431630">
            <w:r>
              <w:rPr>
                <w:b/>
                <w:bCs/>
                <w:sz w:val="20"/>
                <w:szCs w:val="20"/>
              </w:rPr>
              <w:t>Langue</w:t>
            </w:r>
          </w:p>
        </w:tc>
        <w:tc>
          <w:tcPr>
            <w:tcW w:w="2320" w:type="dxa"/>
            <w:tcBorders>
              <w:top w:val="single" w:sz="4" w:space="0" w:color="B0B0B0"/>
              <w:left w:val="single" w:sz="4" w:space="0" w:color="B0B0B0"/>
              <w:bottom w:val="single" w:sz="4" w:space="0" w:color="B0B0B0"/>
              <w:right w:val="single" w:sz="4" w:space="0" w:color="B0B0B0"/>
            </w:tcBorders>
            <w:shd w:val="clear" w:color="auto" w:fill="C9E5D4"/>
            <w:tcMar>
              <w:top w:w="70" w:type="dxa"/>
              <w:left w:w="90" w:type="dxa"/>
              <w:bottom w:w="70" w:type="dxa"/>
              <w:right w:w="90" w:type="dxa"/>
            </w:tcMar>
          </w:tcPr>
          <w:p w14:paraId="6C153222" w14:textId="77777777" w:rsidR="00772B91" w:rsidRDefault="00431630">
            <w:r>
              <w:rPr>
                <w:b/>
                <w:bCs/>
                <w:sz w:val="20"/>
                <w:szCs w:val="20"/>
              </w:rPr>
              <w:t>Hommes</w:t>
            </w:r>
          </w:p>
        </w:tc>
        <w:tc>
          <w:tcPr>
            <w:tcW w:w="2320" w:type="dxa"/>
            <w:tcBorders>
              <w:top w:val="single" w:sz="4" w:space="0" w:color="B0B0B0"/>
              <w:left w:val="single" w:sz="4" w:space="0" w:color="B0B0B0"/>
              <w:bottom w:val="single" w:sz="4" w:space="0" w:color="B0B0B0"/>
              <w:right w:val="single" w:sz="4" w:space="0" w:color="B0B0B0"/>
            </w:tcBorders>
            <w:shd w:val="clear" w:color="auto" w:fill="C9E5D4"/>
            <w:tcMar>
              <w:top w:w="70" w:type="dxa"/>
              <w:left w:w="90" w:type="dxa"/>
              <w:bottom w:w="70" w:type="dxa"/>
              <w:right w:w="90" w:type="dxa"/>
            </w:tcMar>
          </w:tcPr>
          <w:p w14:paraId="04314601" w14:textId="77777777" w:rsidR="00772B91" w:rsidRDefault="00431630">
            <w:r>
              <w:rPr>
                <w:b/>
                <w:bCs/>
                <w:sz w:val="20"/>
                <w:szCs w:val="20"/>
              </w:rPr>
              <w:t>Femmes</w:t>
            </w:r>
          </w:p>
        </w:tc>
        <w:tc>
          <w:tcPr>
            <w:tcW w:w="2320" w:type="dxa"/>
            <w:tcBorders>
              <w:top w:val="single" w:sz="4" w:space="0" w:color="B0B0B0"/>
              <w:left w:val="single" w:sz="4" w:space="0" w:color="B0B0B0"/>
              <w:bottom w:val="single" w:sz="4" w:space="0" w:color="B0B0B0"/>
              <w:right w:val="single" w:sz="4" w:space="0" w:color="B0B0B0"/>
            </w:tcBorders>
            <w:shd w:val="clear" w:color="auto" w:fill="C9E5D4"/>
            <w:tcMar>
              <w:top w:w="70" w:type="dxa"/>
              <w:left w:w="90" w:type="dxa"/>
              <w:bottom w:w="70" w:type="dxa"/>
              <w:right w:w="90" w:type="dxa"/>
            </w:tcMar>
          </w:tcPr>
          <w:p w14:paraId="71574D62" w14:textId="77777777" w:rsidR="00772B91" w:rsidRDefault="00431630">
            <w:r>
              <w:rPr>
                <w:b/>
                <w:bCs/>
                <w:sz w:val="20"/>
                <w:szCs w:val="20"/>
              </w:rPr>
              <w:t>% femmes</w:t>
            </w:r>
          </w:p>
        </w:tc>
      </w:tr>
      <w:tr w:rsidR="00772B91" w14:paraId="3EF9FB53" w14:textId="77777777">
        <w:tc>
          <w:tcPr>
            <w:tcW w:w="2400" w:type="dxa"/>
            <w:tcBorders>
              <w:top w:val="single" w:sz="4" w:space="0" w:color="B0B0B0"/>
              <w:left w:val="single" w:sz="4" w:space="0" w:color="B0B0B0"/>
              <w:bottom w:val="single" w:sz="4" w:space="0" w:color="B0B0B0"/>
              <w:right w:val="single" w:sz="4" w:space="0" w:color="B0B0B0"/>
            </w:tcBorders>
            <w:tcMar>
              <w:top w:w="60" w:type="dxa"/>
              <w:left w:w="90" w:type="dxa"/>
              <w:bottom w:w="60" w:type="dxa"/>
              <w:right w:w="90" w:type="dxa"/>
            </w:tcMar>
          </w:tcPr>
          <w:p w14:paraId="70294B97" w14:textId="77777777" w:rsidR="00772B91" w:rsidRDefault="00431630">
            <w:r>
              <w:rPr>
                <w:sz w:val="20"/>
                <w:szCs w:val="20"/>
              </w:rPr>
              <w:t>Français</w:t>
            </w:r>
          </w:p>
        </w:tc>
        <w:tc>
          <w:tcPr>
            <w:tcW w:w="2320" w:type="dxa"/>
            <w:tcBorders>
              <w:top w:val="single" w:sz="4" w:space="0" w:color="B0B0B0"/>
              <w:left w:val="single" w:sz="4" w:space="0" w:color="B0B0B0"/>
              <w:bottom w:val="single" w:sz="4" w:space="0" w:color="B0B0B0"/>
              <w:right w:val="single" w:sz="4" w:space="0" w:color="B0B0B0"/>
            </w:tcBorders>
            <w:tcMar>
              <w:top w:w="60" w:type="dxa"/>
              <w:left w:w="90" w:type="dxa"/>
              <w:bottom w:w="60" w:type="dxa"/>
              <w:right w:w="90" w:type="dxa"/>
            </w:tcMar>
          </w:tcPr>
          <w:p w14:paraId="7B45C9CD" w14:textId="77777777" w:rsidR="00772B91" w:rsidRDefault="00431630">
            <w:r>
              <w:rPr>
                <w:sz w:val="20"/>
                <w:szCs w:val="20"/>
              </w:rPr>
              <w:t>15</w:t>
            </w:r>
          </w:p>
        </w:tc>
        <w:tc>
          <w:tcPr>
            <w:tcW w:w="2320" w:type="dxa"/>
            <w:tcBorders>
              <w:top w:val="single" w:sz="4" w:space="0" w:color="B0B0B0"/>
              <w:left w:val="single" w:sz="4" w:space="0" w:color="B0B0B0"/>
              <w:bottom w:val="single" w:sz="4" w:space="0" w:color="B0B0B0"/>
              <w:right w:val="single" w:sz="4" w:space="0" w:color="B0B0B0"/>
            </w:tcBorders>
            <w:tcMar>
              <w:top w:w="60" w:type="dxa"/>
              <w:left w:w="90" w:type="dxa"/>
              <w:bottom w:w="60" w:type="dxa"/>
              <w:right w:w="90" w:type="dxa"/>
            </w:tcMar>
          </w:tcPr>
          <w:p w14:paraId="3F5BB7AE" w14:textId="77777777" w:rsidR="00772B91" w:rsidRDefault="00431630">
            <w:r>
              <w:rPr>
                <w:sz w:val="20"/>
                <w:szCs w:val="20"/>
              </w:rPr>
              <w:t>5</w:t>
            </w:r>
          </w:p>
        </w:tc>
        <w:tc>
          <w:tcPr>
            <w:tcW w:w="2320" w:type="dxa"/>
            <w:tcBorders>
              <w:top w:val="single" w:sz="4" w:space="0" w:color="B0B0B0"/>
              <w:left w:val="single" w:sz="4" w:space="0" w:color="B0B0B0"/>
              <w:bottom w:val="single" w:sz="4" w:space="0" w:color="B0B0B0"/>
              <w:right w:val="single" w:sz="4" w:space="0" w:color="B0B0B0"/>
            </w:tcBorders>
            <w:tcMar>
              <w:top w:w="60" w:type="dxa"/>
              <w:left w:w="90" w:type="dxa"/>
              <w:bottom w:w="60" w:type="dxa"/>
              <w:right w:w="90" w:type="dxa"/>
            </w:tcMar>
          </w:tcPr>
          <w:p w14:paraId="3CA271F1" w14:textId="77777777" w:rsidR="00772B91" w:rsidRDefault="00431630">
            <w:r>
              <w:rPr>
                <w:sz w:val="20"/>
                <w:szCs w:val="20"/>
              </w:rPr>
              <w:t>25 %</w:t>
            </w:r>
          </w:p>
        </w:tc>
      </w:tr>
      <w:tr w:rsidR="00772B91" w14:paraId="6DB0B5C6" w14:textId="77777777">
        <w:tc>
          <w:tcPr>
            <w:tcW w:w="2400" w:type="dxa"/>
            <w:tcBorders>
              <w:top w:val="single" w:sz="4" w:space="0" w:color="B0B0B0"/>
              <w:left w:val="single" w:sz="4" w:space="0" w:color="B0B0B0"/>
              <w:bottom w:val="single" w:sz="4" w:space="0" w:color="B0B0B0"/>
              <w:right w:val="single" w:sz="4" w:space="0" w:color="B0B0B0"/>
            </w:tcBorders>
            <w:tcMar>
              <w:top w:w="60" w:type="dxa"/>
              <w:left w:w="90" w:type="dxa"/>
              <w:bottom w:w="60" w:type="dxa"/>
              <w:right w:w="90" w:type="dxa"/>
            </w:tcMar>
          </w:tcPr>
          <w:p w14:paraId="172B71A7" w14:textId="77777777" w:rsidR="00772B91" w:rsidRDefault="00431630">
            <w:r>
              <w:rPr>
                <w:sz w:val="20"/>
                <w:szCs w:val="20"/>
              </w:rPr>
              <w:t>Anglais</w:t>
            </w:r>
          </w:p>
        </w:tc>
        <w:tc>
          <w:tcPr>
            <w:tcW w:w="2320" w:type="dxa"/>
            <w:tcBorders>
              <w:top w:val="single" w:sz="4" w:space="0" w:color="B0B0B0"/>
              <w:left w:val="single" w:sz="4" w:space="0" w:color="B0B0B0"/>
              <w:bottom w:val="single" w:sz="4" w:space="0" w:color="B0B0B0"/>
              <w:right w:val="single" w:sz="4" w:space="0" w:color="B0B0B0"/>
            </w:tcBorders>
            <w:tcMar>
              <w:top w:w="60" w:type="dxa"/>
              <w:left w:w="90" w:type="dxa"/>
              <w:bottom w:w="60" w:type="dxa"/>
              <w:right w:w="90" w:type="dxa"/>
            </w:tcMar>
          </w:tcPr>
          <w:p w14:paraId="78B3C69E" w14:textId="77777777" w:rsidR="00772B91" w:rsidRDefault="00431630">
            <w:r>
              <w:rPr>
                <w:sz w:val="20"/>
                <w:szCs w:val="20"/>
              </w:rPr>
              <w:t>16</w:t>
            </w:r>
          </w:p>
        </w:tc>
        <w:tc>
          <w:tcPr>
            <w:tcW w:w="2320" w:type="dxa"/>
            <w:tcBorders>
              <w:top w:val="single" w:sz="4" w:space="0" w:color="B0B0B0"/>
              <w:left w:val="single" w:sz="4" w:space="0" w:color="B0B0B0"/>
              <w:bottom w:val="single" w:sz="4" w:space="0" w:color="B0B0B0"/>
              <w:right w:val="single" w:sz="4" w:space="0" w:color="B0B0B0"/>
            </w:tcBorders>
            <w:tcMar>
              <w:top w:w="60" w:type="dxa"/>
              <w:left w:w="90" w:type="dxa"/>
              <w:bottom w:w="60" w:type="dxa"/>
              <w:right w:w="90" w:type="dxa"/>
            </w:tcMar>
          </w:tcPr>
          <w:p w14:paraId="23D78905" w14:textId="77777777" w:rsidR="00772B91" w:rsidRDefault="00431630">
            <w:r>
              <w:rPr>
                <w:sz w:val="20"/>
                <w:szCs w:val="20"/>
              </w:rPr>
              <w:t>4</w:t>
            </w:r>
          </w:p>
        </w:tc>
        <w:tc>
          <w:tcPr>
            <w:tcW w:w="2320" w:type="dxa"/>
            <w:tcBorders>
              <w:top w:val="single" w:sz="4" w:space="0" w:color="B0B0B0"/>
              <w:left w:val="single" w:sz="4" w:space="0" w:color="B0B0B0"/>
              <w:bottom w:val="single" w:sz="4" w:space="0" w:color="B0B0B0"/>
              <w:right w:val="single" w:sz="4" w:space="0" w:color="B0B0B0"/>
            </w:tcBorders>
            <w:tcMar>
              <w:top w:w="60" w:type="dxa"/>
              <w:left w:w="90" w:type="dxa"/>
              <w:bottom w:w="60" w:type="dxa"/>
              <w:right w:w="90" w:type="dxa"/>
            </w:tcMar>
          </w:tcPr>
          <w:p w14:paraId="1EB054C4" w14:textId="77777777" w:rsidR="00772B91" w:rsidRDefault="00431630">
            <w:r>
              <w:rPr>
                <w:sz w:val="20"/>
                <w:szCs w:val="20"/>
              </w:rPr>
              <w:t>20 %</w:t>
            </w:r>
          </w:p>
        </w:tc>
      </w:tr>
      <w:tr w:rsidR="00772B91" w14:paraId="11D60278" w14:textId="77777777">
        <w:tc>
          <w:tcPr>
            <w:tcW w:w="2400" w:type="dxa"/>
            <w:tcBorders>
              <w:top w:val="single" w:sz="4" w:space="0" w:color="B0B0B0"/>
              <w:left w:val="single" w:sz="4" w:space="0" w:color="B0B0B0"/>
              <w:bottom w:val="single" w:sz="4" w:space="0" w:color="B0B0B0"/>
              <w:right w:val="single" w:sz="4" w:space="0" w:color="B0B0B0"/>
            </w:tcBorders>
            <w:tcMar>
              <w:top w:w="60" w:type="dxa"/>
              <w:left w:w="90" w:type="dxa"/>
              <w:bottom w:w="60" w:type="dxa"/>
              <w:right w:w="90" w:type="dxa"/>
            </w:tcMar>
          </w:tcPr>
          <w:p w14:paraId="2F3A4D37" w14:textId="77777777" w:rsidR="00772B91" w:rsidRDefault="00431630">
            <w:r>
              <w:rPr>
                <w:sz w:val="20"/>
                <w:szCs w:val="20"/>
              </w:rPr>
              <w:t>Suédois</w:t>
            </w:r>
          </w:p>
        </w:tc>
        <w:tc>
          <w:tcPr>
            <w:tcW w:w="2320" w:type="dxa"/>
            <w:tcBorders>
              <w:top w:val="single" w:sz="4" w:space="0" w:color="B0B0B0"/>
              <w:left w:val="single" w:sz="4" w:space="0" w:color="B0B0B0"/>
              <w:bottom w:val="single" w:sz="4" w:space="0" w:color="B0B0B0"/>
              <w:right w:val="single" w:sz="4" w:space="0" w:color="B0B0B0"/>
            </w:tcBorders>
            <w:tcMar>
              <w:top w:w="60" w:type="dxa"/>
              <w:left w:w="90" w:type="dxa"/>
              <w:bottom w:w="60" w:type="dxa"/>
              <w:right w:w="90" w:type="dxa"/>
            </w:tcMar>
          </w:tcPr>
          <w:p w14:paraId="6AB0FA30" w14:textId="77777777" w:rsidR="00772B91" w:rsidRDefault="00431630">
            <w:r>
              <w:rPr>
                <w:sz w:val="20"/>
                <w:szCs w:val="20"/>
              </w:rPr>
              <w:t>4</w:t>
            </w:r>
          </w:p>
        </w:tc>
        <w:tc>
          <w:tcPr>
            <w:tcW w:w="2320" w:type="dxa"/>
            <w:tcBorders>
              <w:top w:val="single" w:sz="4" w:space="0" w:color="B0B0B0"/>
              <w:left w:val="single" w:sz="4" w:space="0" w:color="B0B0B0"/>
              <w:bottom w:val="single" w:sz="4" w:space="0" w:color="B0B0B0"/>
              <w:right w:val="single" w:sz="4" w:space="0" w:color="B0B0B0"/>
            </w:tcBorders>
            <w:tcMar>
              <w:top w:w="60" w:type="dxa"/>
              <w:left w:w="90" w:type="dxa"/>
              <w:bottom w:w="60" w:type="dxa"/>
              <w:right w:w="90" w:type="dxa"/>
            </w:tcMar>
          </w:tcPr>
          <w:p w14:paraId="227B0105" w14:textId="77777777" w:rsidR="00772B91" w:rsidRDefault="00431630">
            <w:r>
              <w:rPr>
                <w:sz w:val="20"/>
                <w:szCs w:val="20"/>
              </w:rPr>
              <w:t>16</w:t>
            </w:r>
          </w:p>
        </w:tc>
        <w:tc>
          <w:tcPr>
            <w:tcW w:w="2320" w:type="dxa"/>
            <w:tcBorders>
              <w:top w:val="single" w:sz="4" w:space="0" w:color="B0B0B0"/>
              <w:left w:val="single" w:sz="4" w:space="0" w:color="B0B0B0"/>
              <w:bottom w:val="single" w:sz="4" w:space="0" w:color="B0B0B0"/>
              <w:right w:val="single" w:sz="4" w:space="0" w:color="B0B0B0"/>
            </w:tcBorders>
            <w:tcMar>
              <w:top w:w="60" w:type="dxa"/>
              <w:left w:w="90" w:type="dxa"/>
              <w:bottom w:w="60" w:type="dxa"/>
              <w:right w:w="90" w:type="dxa"/>
            </w:tcMar>
          </w:tcPr>
          <w:p w14:paraId="63E2E0C6" w14:textId="77777777" w:rsidR="00772B91" w:rsidRDefault="00431630">
            <w:r>
              <w:rPr>
                <w:sz w:val="20"/>
                <w:szCs w:val="20"/>
              </w:rPr>
              <w:t>80 %</w:t>
            </w:r>
          </w:p>
        </w:tc>
      </w:tr>
    </w:tbl>
    <w:p w14:paraId="5A2976B5" w14:textId="77777777" w:rsidR="00772B91" w:rsidRDefault="00431630">
      <w:pPr>
        <w:spacing w:before="130" w:after="50" w:line="290" w:lineRule="auto"/>
      </w:pPr>
      <w:r>
        <w:rPr>
          <w:b/>
          <w:bCs/>
          <w:color w:val="1F3864"/>
        </w:rPr>
        <w:t>5–6. Les images / proportions changent-elles selon la langue ?</w:t>
      </w:r>
    </w:p>
    <w:p w14:paraId="03BBD1AD" w14:textId="77777777" w:rsidR="00772B91" w:rsidRDefault="00431630">
      <w:pPr>
        <w:spacing w:after="120" w:line="300" w:lineRule="auto"/>
        <w:jc w:val="both"/>
      </w:pPr>
      <w:r>
        <w:rPr>
          <w:b/>
          <w:bCs/>
          <w:color w:val="1F6B3F"/>
        </w:rPr>
        <w:t xml:space="preserve">Réponse attendue : </w:t>
      </w:r>
      <w:r>
        <w:t>Oui. Les images et les proportions hommes/femmes varient nettement : environ 25 % de femmes en français, 20 % en anglais, mais 80 % en suédois pour le même métier d’ingénieur.</w:t>
      </w:r>
    </w:p>
    <w:p w14:paraId="57679E1B" w14:textId="77777777" w:rsidR="00772B91" w:rsidRDefault="00431630">
      <w:pPr>
        <w:spacing w:before="130" w:after="50" w:line="290" w:lineRule="auto"/>
      </w:pPr>
      <w:r>
        <w:rPr>
          <w:b/>
          <w:bCs/>
          <w:color w:val="1F3864"/>
        </w:rPr>
        <w:t>7. Pourquoi les résultats varient-ils selon la langue ?</w:t>
      </w:r>
    </w:p>
    <w:p w14:paraId="3D295DDB" w14:textId="77777777" w:rsidR="00772B91" w:rsidRDefault="00431630">
      <w:pPr>
        <w:spacing w:after="120" w:line="300" w:lineRule="auto"/>
        <w:jc w:val="both"/>
      </w:pPr>
      <w:r>
        <w:rPr>
          <w:b/>
          <w:bCs/>
          <w:color w:val="1F6B3F"/>
        </w:rPr>
        <w:t xml:space="preserve">Réponse attendue : </w:t>
      </w:r>
      <w:r>
        <w:t>Parce que le moteur adapte ses résultats au contexte linguistique et culturel : il s’appuie sur des pages et des images du pays correspondant à la langue. La Suède, pays souvent cité pour ses politiques d’égalité, renvoie davantage d’images de femmes ingénieures. La langue agit donc comme un paramètre qui change les résultats.</w:t>
      </w:r>
    </w:p>
    <w:p w14:paraId="7702718C" w14:textId="77777777" w:rsidR="00772B91" w:rsidRDefault="00431630">
      <w:pPr>
        <w:spacing w:before="130" w:after="50" w:line="290" w:lineRule="auto"/>
      </w:pPr>
      <w:r>
        <w:rPr>
          <w:b/>
          <w:bCs/>
          <w:color w:val="1F3864"/>
        </w:rPr>
        <w:t>8. Phrase de conclusion.</w:t>
      </w:r>
    </w:p>
    <w:p w14:paraId="33CB03A4" w14:textId="77777777" w:rsidR="00772B91" w:rsidRDefault="00431630">
      <w:pPr>
        <w:spacing w:after="120" w:line="300" w:lineRule="auto"/>
        <w:jc w:val="both"/>
      </w:pPr>
      <w:r>
        <w:rPr>
          <w:b/>
          <w:bCs/>
          <w:color w:val="1F6B3F"/>
        </w:rPr>
        <w:t xml:space="preserve">Réponse attendue : </w:t>
      </w:r>
      <w:r>
        <w:t>Exemple : « Un moteur de recherche ne montre pas une vérité universelle : ses résultats dépendent de la langue et du contexte culturel, et reflètent les représentations propres à chaque pays. »</w:t>
      </w:r>
    </w:p>
    <w:p w14:paraId="0E57871E" w14:textId="77777777" w:rsidR="00772B91" w:rsidRDefault="00431630">
      <w:pPr>
        <w:pStyle w:val="Titre2"/>
      </w:pPr>
      <w:r>
        <w:t>Activité 4 — Pourquoi deux personnes ne voient pas les mêmes résultats ?</w:t>
      </w:r>
    </w:p>
    <w:p w14:paraId="4EE749E3" w14:textId="77777777" w:rsidR="00772B91" w:rsidRDefault="00431630">
      <w:pPr>
        <w:spacing w:after="120" w:line="300" w:lineRule="auto"/>
        <w:jc w:val="both"/>
      </w:pPr>
      <w:r>
        <w:t>Pour chaque situation, les élèves identifient la donnée utilisée par le moteur pour personnaliser les résultats.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400"/>
        <w:gridCol w:w="4960"/>
      </w:tblGrid>
      <w:tr w:rsidR="00772B91" w14:paraId="458CC056" w14:textId="77777777">
        <w:tc>
          <w:tcPr>
            <w:tcW w:w="4400" w:type="dxa"/>
            <w:tcBorders>
              <w:top w:val="single" w:sz="4" w:space="0" w:color="B0B0B0"/>
              <w:left w:val="single" w:sz="4" w:space="0" w:color="B0B0B0"/>
              <w:bottom w:val="single" w:sz="4" w:space="0" w:color="B0B0B0"/>
              <w:right w:val="single" w:sz="4" w:space="0" w:color="B0B0B0"/>
            </w:tcBorders>
            <w:shd w:val="clear" w:color="auto" w:fill="C9E5D4"/>
            <w:tcMar>
              <w:top w:w="70" w:type="dxa"/>
              <w:left w:w="90" w:type="dxa"/>
              <w:bottom w:w="70" w:type="dxa"/>
              <w:right w:w="90" w:type="dxa"/>
            </w:tcMar>
          </w:tcPr>
          <w:p w14:paraId="1A0A67F4" w14:textId="77777777" w:rsidR="00772B91" w:rsidRDefault="00431630">
            <w:r>
              <w:rPr>
                <w:b/>
                <w:bCs/>
                <w:sz w:val="20"/>
                <w:szCs w:val="20"/>
              </w:rPr>
              <w:t>Situation</w:t>
            </w:r>
          </w:p>
        </w:tc>
        <w:tc>
          <w:tcPr>
            <w:tcW w:w="4960" w:type="dxa"/>
            <w:tcBorders>
              <w:top w:val="single" w:sz="4" w:space="0" w:color="B0B0B0"/>
              <w:left w:val="single" w:sz="4" w:space="0" w:color="B0B0B0"/>
              <w:bottom w:val="single" w:sz="4" w:space="0" w:color="B0B0B0"/>
              <w:right w:val="single" w:sz="4" w:space="0" w:color="B0B0B0"/>
            </w:tcBorders>
            <w:shd w:val="clear" w:color="auto" w:fill="C9E5D4"/>
            <w:tcMar>
              <w:top w:w="70" w:type="dxa"/>
              <w:left w:w="90" w:type="dxa"/>
              <w:bottom w:w="70" w:type="dxa"/>
              <w:right w:w="90" w:type="dxa"/>
            </w:tcMar>
          </w:tcPr>
          <w:p w14:paraId="1C42B0FE" w14:textId="77777777" w:rsidR="00772B91" w:rsidRDefault="00431630">
            <w:r>
              <w:rPr>
                <w:b/>
                <w:bCs/>
                <w:sz w:val="20"/>
                <w:szCs w:val="20"/>
              </w:rPr>
              <w:t>Donnée utilisée par le moteur</w:t>
            </w:r>
          </w:p>
        </w:tc>
      </w:tr>
      <w:tr w:rsidR="00772B91" w14:paraId="6FAF606A" w14:textId="77777777">
        <w:tc>
          <w:tcPr>
            <w:tcW w:w="4400" w:type="dxa"/>
            <w:tcBorders>
              <w:top w:val="single" w:sz="4" w:space="0" w:color="B0B0B0"/>
              <w:left w:val="single" w:sz="4" w:space="0" w:color="B0B0B0"/>
              <w:bottom w:val="single" w:sz="4" w:space="0" w:color="B0B0B0"/>
              <w:right w:val="single" w:sz="4" w:space="0" w:color="B0B0B0"/>
            </w:tcBorders>
            <w:tcMar>
              <w:top w:w="60" w:type="dxa"/>
              <w:left w:w="90" w:type="dxa"/>
              <w:bottom w:w="60" w:type="dxa"/>
              <w:right w:w="90" w:type="dxa"/>
            </w:tcMar>
          </w:tcPr>
          <w:p w14:paraId="43BB88B2" w14:textId="77777777" w:rsidR="00772B91" w:rsidRDefault="00431630">
            <w:r>
              <w:rPr>
                <w:sz w:val="20"/>
                <w:szCs w:val="20"/>
              </w:rPr>
              <w:t>1. « restaurant » → résultats proches du lycée vs autre ville</w:t>
            </w:r>
          </w:p>
        </w:tc>
        <w:tc>
          <w:tcPr>
            <w:tcW w:w="4960" w:type="dxa"/>
            <w:tcBorders>
              <w:top w:val="single" w:sz="4" w:space="0" w:color="B0B0B0"/>
              <w:left w:val="single" w:sz="4" w:space="0" w:color="B0B0B0"/>
              <w:bottom w:val="single" w:sz="4" w:space="0" w:color="B0B0B0"/>
              <w:right w:val="single" w:sz="4" w:space="0" w:color="B0B0B0"/>
            </w:tcBorders>
            <w:tcMar>
              <w:top w:w="60" w:type="dxa"/>
              <w:left w:w="90" w:type="dxa"/>
              <w:bottom w:w="60" w:type="dxa"/>
              <w:right w:w="90" w:type="dxa"/>
            </w:tcMar>
          </w:tcPr>
          <w:p w14:paraId="0C77EC42" w14:textId="77777777" w:rsidR="00772B91" w:rsidRDefault="00431630">
            <w:r>
              <w:rPr>
                <w:sz w:val="20"/>
                <w:szCs w:val="20"/>
              </w:rPr>
              <w:t>La localisation (adresse IP, position géographique).</w:t>
            </w:r>
          </w:p>
        </w:tc>
      </w:tr>
      <w:tr w:rsidR="00772B91" w14:paraId="70FD8FD0" w14:textId="77777777">
        <w:tc>
          <w:tcPr>
            <w:tcW w:w="4400" w:type="dxa"/>
            <w:tcBorders>
              <w:top w:val="single" w:sz="4" w:space="0" w:color="B0B0B0"/>
              <w:left w:val="single" w:sz="4" w:space="0" w:color="B0B0B0"/>
              <w:bottom w:val="single" w:sz="4" w:space="0" w:color="B0B0B0"/>
              <w:right w:val="single" w:sz="4" w:space="0" w:color="B0B0B0"/>
            </w:tcBorders>
            <w:tcMar>
              <w:top w:w="60" w:type="dxa"/>
              <w:left w:w="90" w:type="dxa"/>
              <w:bottom w:w="60" w:type="dxa"/>
              <w:right w:w="90" w:type="dxa"/>
            </w:tcMar>
          </w:tcPr>
          <w:p w14:paraId="3612A471" w14:textId="77777777" w:rsidR="00772B91" w:rsidRDefault="00431630">
            <w:r>
              <w:rPr>
                <w:sz w:val="20"/>
                <w:szCs w:val="20"/>
              </w:rPr>
              <w:t>2. « développeur » → offres en France vs au Canada</w:t>
            </w:r>
          </w:p>
        </w:tc>
        <w:tc>
          <w:tcPr>
            <w:tcW w:w="4960" w:type="dxa"/>
            <w:tcBorders>
              <w:top w:val="single" w:sz="4" w:space="0" w:color="B0B0B0"/>
              <w:left w:val="single" w:sz="4" w:space="0" w:color="B0B0B0"/>
              <w:bottom w:val="single" w:sz="4" w:space="0" w:color="B0B0B0"/>
              <w:right w:val="single" w:sz="4" w:space="0" w:color="B0B0B0"/>
            </w:tcBorders>
            <w:tcMar>
              <w:top w:w="60" w:type="dxa"/>
              <w:left w:w="90" w:type="dxa"/>
              <w:bottom w:w="60" w:type="dxa"/>
              <w:right w:w="90" w:type="dxa"/>
            </w:tcMar>
          </w:tcPr>
          <w:p w14:paraId="043B461E" w14:textId="77777777" w:rsidR="00772B91" w:rsidRDefault="00431630">
            <w:r>
              <w:rPr>
                <w:sz w:val="20"/>
                <w:szCs w:val="20"/>
              </w:rPr>
              <w:t>Le pays / la localisation de l’utilisateur.</w:t>
            </w:r>
          </w:p>
        </w:tc>
      </w:tr>
      <w:tr w:rsidR="00772B91" w14:paraId="06AE008A" w14:textId="77777777">
        <w:tc>
          <w:tcPr>
            <w:tcW w:w="4400" w:type="dxa"/>
            <w:tcBorders>
              <w:top w:val="single" w:sz="4" w:space="0" w:color="B0B0B0"/>
              <w:left w:val="single" w:sz="4" w:space="0" w:color="B0B0B0"/>
              <w:bottom w:val="single" w:sz="4" w:space="0" w:color="B0B0B0"/>
              <w:right w:val="single" w:sz="4" w:space="0" w:color="B0B0B0"/>
            </w:tcBorders>
            <w:tcMar>
              <w:top w:w="60" w:type="dxa"/>
              <w:left w:w="90" w:type="dxa"/>
              <w:bottom w:w="60" w:type="dxa"/>
              <w:right w:w="90" w:type="dxa"/>
            </w:tcMar>
          </w:tcPr>
          <w:p w14:paraId="4A831121" w14:textId="77777777" w:rsidR="00772B91" w:rsidRDefault="00431630">
            <w:r>
              <w:rPr>
                <w:sz w:val="20"/>
                <w:szCs w:val="20"/>
              </w:rPr>
              <w:t>3. « Python » → tutoriels vs serpent</w:t>
            </w:r>
          </w:p>
        </w:tc>
        <w:tc>
          <w:tcPr>
            <w:tcW w:w="4960" w:type="dxa"/>
            <w:tcBorders>
              <w:top w:val="single" w:sz="4" w:space="0" w:color="B0B0B0"/>
              <w:left w:val="single" w:sz="4" w:space="0" w:color="B0B0B0"/>
              <w:bottom w:val="single" w:sz="4" w:space="0" w:color="B0B0B0"/>
              <w:right w:val="single" w:sz="4" w:space="0" w:color="B0B0B0"/>
            </w:tcBorders>
            <w:tcMar>
              <w:top w:w="60" w:type="dxa"/>
              <w:left w:w="90" w:type="dxa"/>
              <w:bottom w:w="60" w:type="dxa"/>
              <w:right w:w="90" w:type="dxa"/>
            </w:tcMar>
          </w:tcPr>
          <w:p w14:paraId="2134EE7D" w14:textId="77777777" w:rsidR="00772B91" w:rsidRDefault="00431630">
            <w:r>
              <w:rPr>
                <w:sz w:val="20"/>
                <w:szCs w:val="20"/>
              </w:rPr>
              <w:t>L’historique de recherche et les centres d’intérêt de l’utilisateur.</w:t>
            </w:r>
          </w:p>
        </w:tc>
      </w:tr>
      <w:tr w:rsidR="00772B91" w14:paraId="5E7CA6DA" w14:textId="77777777">
        <w:tc>
          <w:tcPr>
            <w:tcW w:w="4400" w:type="dxa"/>
            <w:tcBorders>
              <w:top w:val="single" w:sz="4" w:space="0" w:color="B0B0B0"/>
              <w:left w:val="single" w:sz="4" w:space="0" w:color="B0B0B0"/>
              <w:bottom w:val="single" w:sz="4" w:space="0" w:color="B0B0B0"/>
              <w:right w:val="single" w:sz="4" w:space="0" w:color="B0B0B0"/>
            </w:tcBorders>
            <w:tcMar>
              <w:top w:w="60" w:type="dxa"/>
              <w:left w:w="90" w:type="dxa"/>
              <w:bottom w:w="60" w:type="dxa"/>
              <w:right w:w="90" w:type="dxa"/>
            </w:tcMar>
          </w:tcPr>
          <w:p w14:paraId="5C575A6A" w14:textId="77777777" w:rsidR="00772B91" w:rsidRDefault="00431630">
            <w:r>
              <w:rPr>
                <w:sz w:val="20"/>
                <w:szCs w:val="20"/>
              </w:rPr>
              <w:t>4. « ingénieur » FR vs SV → images différentes</w:t>
            </w:r>
          </w:p>
        </w:tc>
        <w:tc>
          <w:tcPr>
            <w:tcW w:w="4960" w:type="dxa"/>
            <w:tcBorders>
              <w:top w:val="single" w:sz="4" w:space="0" w:color="B0B0B0"/>
              <w:left w:val="single" w:sz="4" w:space="0" w:color="B0B0B0"/>
              <w:bottom w:val="single" w:sz="4" w:space="0" w:color="B0B0B0"/>
              <w:right w:val="single" w:sz="4" w:space="0" w:color="B0B0B0"/>
            </w:tcBorders>
            <w:tcMar>
              <w:top w:w="60" w:type="dxa"/>
              <w:left w:w="90" w:type="dxa"/>
              <w:bottom w:w="60" w:type="dxa"/>
              <w:right w:w="90" w:type="dxa"/>
            </w:tcMar>
          </w:tcPr>
          <w:p w14:paraId="1E347BC3" w14:textId="77777777" w:rsidR="00772B91" w:rsidRDefault="00431630">
            <w:r>
              <w:rPr>
                <w:sz w:val="20"/>
                <w:szCs w:val="20"/>
              </w:rPr>
              <w:t>La langue (du navigateur ou de la requête).</w:t>
            </w:r>
          </w:p>
        </w:tc>
      </w:tr>
      <w:tr w:rsidR="00772B91" w14:paraId="539ECB7B" w14:textId="77777777">
        <w:tc>
          <w:tcPr>
            <w:tcW w:w="4400" w:type="dxa"/>
            <w:tcBorders>
              <w:top w:val="single" w:sz="4" w:space="0" w:color="B0B0B0"/>
              <w:left w:val="single" w:sz="4" w:space="0" w:color="B0B0B0"/>
              <w:bottom w:val="single" w:sz="4" w:space="0" w:color="B0B0B0"/>
              <w:right w:val="single" w:sz="4" w:space="0" w:color="B0B0B0"/>
            </w:tcBorders>
            <w:tcMar>
              <w:top w:w="60" w:type="dxa"/>
              <w:left w:w="90" w:type="dxa"/>
              <w:bottom w:w="60" w:type="dxa"/>
              <w:right w:w="90" w:type="dxa"/>
            </w:tcMar>
          </w:tcPr>
          <w:p w14:paraId="6F19F02E" w14:textId="77777777" w:rsidR="00772B91" w:rsidRDefault="00431630">
            <w:r>
              <w:rPr>
                <w:sz w:val="20"/>
                <w:szCs w:val="20"/>
              </w:rPr>
              <w:t>5. « actualités » → infos très récentes vs de la veille</w:t>
            </w:r>
          </w:p>
        </w:tc>
        <w:tc>
          <w:tcPr>
            <w:tcW w:w="4960" w:type="dxa"/>
            <w:tcBorders>
              <w:top w:val="single" w:sz="4" w:space="0" w:color="B0B0B0"/>
              <w:left w:val="single" w:sz="4" w:space="0" w:color="B0B0B0"/>
              <w:bottom w:val="single" w:sz="4" w:space="0" w:color="B0B0B0"/>
              <w:right w:val="single" w:sz="4" w:space="0" w:color="B0B0B0"/>
            </w:tcBorders>
            <w:tcMar>
              <w:top w:w="60" w:type="dxa"/>
              <w:left w:w="90" w:type="dxa"/>
              <w:bottom w:w="60" w:type="dxa"/>
              <w:right w:w="90" w:type="dxa"/>
            </w:tcMar>
          </w:tcPr>
          <w:p w14:paraId="511FFFA2" w14:textId="77777777" w:rsidR="00772B91" w:rsidRDefault="00431630">
            <w:r>
              <w:rPr>
                <w:sz w:val="20"/>
                <w:szCs w:val="20"/>
              </w:rPr>
              <w:t>La date / l’heure de la requête (fraîcheur de l’index).</w:t>
            </w:r>
          </w:p>
        </w:tc>
      </w:tr>
    </w:tbl>
    <w:p w14:paraId="0DF12187" w14:textId="77777777" w:rsidR="00772B91" w:rsidRDefault="00431630">
      <w:pPr>
        <w:spacing w:before="130" w:after="50" w:line="290" w:lineRule="auto"/>
      </w:pPr>
      <w:r>
        <w:rPr>
          <w:b/>
          <w:bCs/>
          <w:color w:val="1F3864"/>
        </w:rPr>
        <w:t>Compléter : « Un moteur ne reçoit pas seulement le mot tapé. Il peut aussi utiliser… »</w:t>
      </w:r>
    </w:p>
    <w:p w14:paraId="769FE479" w14:textId="77777777" w:rsidR="00772B91" w:rsidRDefault="00431630">
      <w:pPr>
        <w:spacing w:after="120" w:line="300" w:lineRule="auto"/>
        <w:jc w:val="both"/>
      </w:pPr>
      <w:r>
        <w:rPr>
          <w:b/>
          <w:bCs/>
          <w:color w:val="1F6B3F"/>
        </w:rPr>
        <w:t xml:space="preserve">Réponse attendue : </w:t>
      </w:r>
      <w:r>
        <w:t>…la localisation (adresse IP), la langue du navigateur, l’appareil utilisé, l’historique de recherche, ainsi que la date et l’heure de la requête.</w:t>
      </w:r>
    </w:p>
    <w:p w14:paraId="6F0CEB24" w14:textId="77777777" w:rsidR="00772B91" w:rsidRDefault="00431630">
      <w:pPr>
        <w:spacing w:before="150" w:after="70"/>
      </w:pPr>
      <w:r>
        <w:rPr>
          <w:b/>
          <w:bCs/>
          <w:color w:val="404040"/>
        </w:rPr>
        <w:t>Débat — un avantage, un risque</w:t>
      </w:r>
    </w:p>
    <w:p w14:paraId="5DA5C793" w14:textId="77777777" w:rsidR="00772B91" w:rsidRDefault="00431630">
      <w:pPr>
        <w:spacing w:after="120" w:line="300" w:lineRule="auto"/>
        <w:jc w:val="both"/>
      </w:pPr>
      <w:r>
        <w:rPr>
          <w:b/>
          <w:bCs/>
          <w:color w:val="1F6B3F"/>
        </w:rPr>
        <w:lastRenderedPageBreak/>
        <w:t xml:space="preserve">Réponse attendue : </w:t>
      </w:r>
      <w:r>
        <w:t>Avantage : des résultats plus pertinents et adaptés (restaurants proches, infos locales, langue correcte).</w:t>
      </w:r>
    </w:p>
    <w:p w14:paraId="3BE64A37" w14:textId="77777777" w:rsidR="00772B91" w:rsidRDefault="00431630">
      <w:pPr>
        <w:spacing w:after="120" w:line="300" w:lineRule="auto"/>
        <w:jc w:val="both"/>
      </w:pPr>
      <w:r>
        <w:rPr>
          <w:b/>
          <w:bCs/>
          <w:color w:val="1F6B3F"/>
        </w:rPr>
        <w:t xml:space="preserve">Réponse attendue : </w:t>
      </w:r>
      <w:r>
        <w:t>Risque : enfermement dans une « bulle de filtres », perte de neutralité, exploitation des données personnelles, renforcement des stéréotypes et opinions existantes.</w:t>
      </w:r>
    </w:p>
    <w:p w14:paraId="527E83D1" w14:textId="58F86004" w:rsidR="00772B91" w:rsidRDefault="00431630" w:rsidP="003231C2">
      <w:pPr>
        <w:spacing w:after="120" w:line="300" w:lineRule="auto"/>
        <w:jc w:val="both"/>
      </w:pPr>
      <w:r>
        <w:rPr>
          <w:b/>
          <w:bCs/>
          <w:i/>
          <w:iCs/>
          <w:color w:val="606060"/>
          <w:sz w:val="21"/>
          <w:szCs w:val="21"/>
        </w:rPr>
        <w:t xml:space="preserve">Note pédagogique : </w:t>
      </w:r>
      <w:r>
        <w:rPr>
          <w:i/>
          <w:iCs/>
          <w:color w:val="606060"/>
          <w:sz w:val="21"/>
          <w:szCs w:val="21"/>
        </w:rPr>
        <w:t>Relier au thème « Les données » du programme : la personnalisation repose sur la collecte de données personnelles, ce qui pose des enjeux de vie privée (CRCN domaine 4). On peut faire le lien avec le tableau des moteurs de l’activité 2 (degré de protection de la vie privée).</w:t>
      </w:r>
    </w:p>
    <w:p w14:paraId="5A93D9EB" w14:textId="77777777" w:rsidR="00772B91" w:rsidRDefault="00431630">
      <w:pPr>
        <w:pStyle w:val="Titre2"/>
      </w:pPr>
      <w:r>
        <w:t xml:space="preserve">Activité 5 — Part des femmes parmi </w:t>
      </w:r>
      <w:proofErr w:type="gramStart"/>
      <w:r>
        <w:t xml:space="preserve">les </w:t>
      </w:r>
      <w:proofErr w:type="spellStart"/>
      <w:r>
        <w:t>chercheur</w:t>
      </w:r>
      <w:proofErr w:type="gramEnd"/>
      <w:r>
        <w:t>·e·s</w:t>
      </w:r>
      <w:proofErr w:type="spellEnd"/>
      <w:r>
        <w:t xml:space="preserve"> (UNESCO 2025)</w:t>
      </w:r>
    </w:p>
    <w:p w14:paraId="751BE2E9" w14:textId="77777777" w:rsidR="00772B91" w:rsidRDefault="00431630">
      <w:pPr>
        <w:spacing w:after="120" w:line="300" w:lineRule="auto"/>
        <w:jc w:val="both"/>
      </w:pPr>
      <w:r>
        <w:t>Trois graphiques de l’étude UNESCO « Statut et tendances des femmes en science » (2025) sont analysés. Objectif : lire des données chiffrées, comparer, et comprendre que les inégalités professionnelles ne s’expliquent pas seulement par le niveau d’études.</w:t>
      </w:r>
    </w:p>
    <w:p w14:paraId="49DCFCFB" w14:textId="77777777" w:rsidR="00772B91" w:rsidRDefault="00431630">
      <w:pPr>
        <w:spacing w:before="150" w:after="70"/>
      </w:pPr>
      <w:r>
        <w:rPr>
          <w:b/>
          <w:bCs/>
          <w:color w:val="404040"/>
        </w:rPr>
        <w:t>Document 1 — Taux brut de scolarisation dans le supérieur</w:t>
      </w:r>
    </w:p>
    <w:p w14:paraId="3DE1F83C" w14:textId="77777777" w:rsidR="00772B91" w:rsidRDefault="00431630">
      <w:pPr>
        <w:spacing w:before="130" w:after="50" w:line="290" w:lineRule="auto"/>
      </w:pPr>
      <w:r>
        <w:rPr>
          <w:b/>
          <w:bCs/>
          <w:color w:val="1F3864"/>
        </w:rPr>
        <w:t>1. « Les femmes font moins d’études que les garçons » : vrai partout ?</w:t>
      </w:r>
    </w:p>
    <w:p w14:paraId="20FCE17A" w14:textId="77777777" w:rsidR="00772B91" w:rsidRDefault="00431630">
      <w:pPr>
        <w:spacing w:after="120" w:line="300" w:lineRule="auto"/>
        <w:jc w:val="both"/>
      </w:pPr>
      <w:r>
        <w:rPr>
          <w:b/>
          <w:bCs/>
          <w:color w:val="1F6B3F"/>
        </w:rPr>
        <w:t xml:space="preserve">Réponse attendue : </w:t>
      </w:r>
      <w:r>
        <w:t xml:space="preserve">Non. Dans la plupart des régions (Europe et Amérique du Nord, Amérique latine, Asie de l’Est, Océanie), les femmes ont un taux de scolarisation dans le supérieur </w:t>
      </w:r>
      <w:proofErr w:type="spellStart"/>
      <w:r>
        <w:t>supérieur</w:t>
      </w:r>
      <w:proofErr w:type="spellEnd"/>
      <w:r>
        <w:t xml:space="preserve"> ou égal à celui des hommes. L’affirmation n’est vraie que dans certaines régions (par exemple l’Afrique subsaharienne, l’Asie du Sud/de l’Ouest). Elle est donc fausse à l’échelle mondiale.</w:t>
      </w:r>
    </w:p>
    <w:p w14:paraId="2062CA55" w14:textId="77777777" w:rsidR="00772B91" w:rsidRDefault="00431630">
      <w:pPr>
        <w:spacing w:before="130" w:after="50" w:line="290" w:lineRule="auto"/>
      </w:pPr>
      <w:r>
        <w:rPr>
          <w:b/>
          <w:bCs/>
          <w:color w:val="1F3864"/>
        </w:rPr>
        <w:t>2. « Si les femmes sont moins payées, c’est qu’elles font moins d’études » : confirmé ?</w:t>
      </w:r>
    </w:p>
    <w:p w14:paraId="08F8DD86" w14:textId="77777777" w:rsidR="00772B91" w:rsidRDefault="00431630">
      <w:pPr>
        <w:spacing w:after="120" w:line="300" w:lineRule="auto"/>
        <w:jc w:val="both"/>
      </w:pPr>
      <w:r>
        <w:rPr>
          <w:b/>
          <w:bCs/>
          <w:color w:val="1F6B3F"/>
        </w:rPr>
        <w:t xml:space="preserve">Réponse attendue : </w:t>
      </w:r>
      <w:r>
        <w:t>Non. Puisque les femmes font autant, voire plus d’études supérieures que les hommes dans de nombreuses régions, l’écart de salaire ne peut pas s’expliquer par un déficit d’études. Le graphique contredit cette idée reçue.</w:t>
      </w:r>
    </w:p>
    <w:p w14:paraId="4E570B76" w14:textId="77777777" w:rsidR="00772B91" w:rsidRDefault="00431630">
      <w:pPr>
        <w:spacing w:before="130" w:after="50" w:line="290" w:lineRule="auto"/>
      </w:pPr>
      <w:r>
        <w:rPr>
          <w:b/>
          <w:bCs/>
          <w:color w:val="1F3864"/>
        </w:rPr>
        <w:t>3. Les inégalités s’expliquent-elles seulement par les études ?</w:t>
      </w:r>
    </w:p>
    <w:p w14:paraId="7C5F8707" w14:textId="77777777" w:rsidR="00772B91" w:rsidRDefault="00431630">
      <w:pPr>
        <w:spacing w:after="120" w:line="300" w:lineRule="auto"/>
        <w:jc w:val="both"/>
      </w:pPr>
      <w:r>
        <w:rPr>
          <w:b/>
          <w:bCs/>
          <w:color w:val="1F6B3F"/>
        </w:rPr>
        <w:t xml:space="preserve">Réponse attendue : </w:t>
      </w:r>
      <w:r>
        <w:t>Non. Le niveau d’études ne suffit pas à expliquer les inégalités : d’autres facteurs interviennent (stéréotypes, orientation, conditions de travail, discriminations, partage des tâches familiales). C’est le message central de l’activité.</w:t>
      </w:r>
    </w:p>
    <w:p w14:paraId="77CC1D96" w14:textId="77777777" w:rsidR="00772B91" w:rsidRDefault="00431630">
      <w:pPr>
        <w:spacing w:before="150" w:after="70"/>
      </w:pPr>
      <w:r>
        <w:rPr>
          <w:b/>
          <w:bCs/>
          <w:color w:val="404040"/>
        </w:rPr>
        <w:t xml:space="preserve">Document 2 — Part des femmes parmi </w:t>
      </w:r>
      <w:proofErr w:type="gramStart"/>
      <w:r>
        <w:rPr>
          <w:b/>
          <w:bCs/>
          <w:color w:val="404040"/>
        </w:rPr>
        <w:t xml:space="preserve">les </w:t>
      </w:r>
      <w:proofErr w:type="spellStart"/>
      <w:r>
        <w:rPr>
          <w:b/>
          <w:bCs/>
          <w:color w:val="404040"/>
        </w:rPr>
        <w:t>chercheur</w:t>
      </w:r>
      <w:proofErr w:type="gramEnd"/>
      <w:r>
        <w:rPr>
          <w:b/>
          <w:bCs/>
          <w:color w:val="404040"/>
        </w:rPr>
        <w:t>·e·s</w:t>
      </w:r>
      <w:proofErr w:type="spellEnd"/>
      <w:r>
        <w:rPr>
          <w:b/>
          <w:bCs/>
          <w:color w:val="404040"/>
        </w:rPr>
        <w:t>, par région (2012 / 2022)</w:t>
      </w:r>
    </w:p>
    <w:p w14:paraId="6C98020B" w14:textId="77777777" w:rsidR="00772B91" w:rsidRDefault="00431630">
      <w:pPr>
        <w:spacing w:before="130" w:after="50" w:line="290" w:lineRule="auto"/>
      </w:pPr>
      <w:r>
        <w:rPr>
          <w:b/>
          <w:bCs/>
          <w:color w:val="1F3864"/>
        </w:rPr>
        <w:t>1. Grandes inégalités entre régions (valeurs précises).</w:t>
      </w:r>
    </w:p>
    <w:p w14:paraId="1E935842" w14:textId="77777777" w:rsidR="00772B91" w:rsidRDefault="00431630">
      <w:pPr>
        <w:spacing w:after="120" w:line="300" w:lineRule="auto"/>
        <w:jc w:val="both"/>
      </w:pPr>
      <w:r>
        <w:rPr>
          <w:b/>
          <w:bCs/>
          <w:color w:val="1F6B3F"/>
        </w:rPr>
        <w:t xml:space="preserve">Réponse attendue : </w:t>
      </w:r>
      <w:r>
        <w:t xml:space="preserve">Forts contrastes : l’Asie centrale atteint 50,8 % et l’Amérique latine 45,3 % en 2022, tandis que l’Asie de l’Est/Pacifique (26,3 %) et l’Asie du Sud/de l’Ouest (26,9 %) </w:t>
      </w:r>
      <w:proofErr w:type="gramStart"/>
      <w:r>
        <w:t>restent</w:t>
      </w:r>
      <w:proofErr w:type="gramEnd"/>
      <w:r>
        <w:t xml:space="preserve"> basses. La moyenne mondiale est de 31,1 %.</w:t>
      </w:r>
    </w:p>
    <w:p w14:paraId="15ADA3FC" w14:textId="77777777" w:rsidR="00772B91" w:rsidRDefault="00431630">
      <w:pPr>
        <w:spacing w:before="130" w:after="50" w:line="290" w:lineRule="auto"/>
      </w:pPr>
      <w:r>
        <w:rPr>
          <w:b/>
          <w:bCs/>
          <w:color w:val="1F3864"/>
        </w:rPr>
        <w:t>2. La situation s’améliore-t-elle partout entre 2012 et 2022 ?</w:t>
      </w:r>
    </w:p>
    <w:p w14:paraId="4178C361" w14:textId="77777777" w:rsidR="00772B91" w:rsidRDefault="00431630">
      <w:pPr>
        <w:spacing w:after="120" w:line="300" w:lineRule="auto"/>
        <w:jc w:val="both"/>
      </w:pPr>
      <w:r>
        <w:rPr>
          <w:b/>
          <w:bCs/>
          <w:color w:val="1F6B3F"/>
        </w:rPr>
        <w:t xml:space="preserve">Réponse attendue : </w:t>
      </w:r>
      <w:r>
        <w:t>Non, pas partout. Elle progresse dans la plupart des régions (ex. Asie du Sud/Ouest 18,9 % → 26,9 % ; États arabes 36,1 % → 41,4 %), mais recule dans quelques-unes (ex. Asie centrale 45,2 % → 50,8 % en hausse, mais Europe centrale et orientale 40,1 % → 37,9 % en baisse, Amérique latine 44,9 % → 45,3 % quasi stable).</w:t>
      </w:r>
    </w:p>
    <w:p w14:paraId="50EC28FE" w14:textId="77777777" w:rsidR="00772B91" w:rsidRDefault="00431630">
      <w:pPr>
        <w:spacing w:before="130" w:after="50" w:line="290" w:lineRule="auto"/>
      </w:pPr>
      <w:r>
        <w:rPr>
          <w:b/>
          <w:bCs/>
          <w:color w:val="1F3864"/>
        </w:rPr>
        <w:t>3. Aucune région n’atteint 50 % : que montre-t-il ?</w:t>
      </w:r>
    </w:p>
    <w:p w14:paraId="0EED806D" w14:textId="77777777" w:rsidR="00772B91" w:rsidRDefault="00431630">
      <w:pPr>
        <w:spacing w:after="120" w:line="300" w:lineRule="auto"/>
        <w:jc w:val="both"/>
      </w:pPr>
      <w:r>
        <w:rPr>
          <w:b/>
          <w:bCs/>
          <w:color w:val="1F6B3F"/>
        </w:rPr>
        <w:t xml:space="preserve">Réponse attendue : </w:t>
      </w:r>
      <w:r>
        <w:t>Que les femmes restent minoritaires parmi les chercheurs partout dans le monde, malgré un accès équivalent (voire supérieur) aux études. La sous-représentation est donc mondiale et structurelle.</w:t>
      </w:r>
    </w:p>
    <w:p w14:paraId="48649B81" w14:textId="77777777" w:rsidR="00772B91" w:rsidRDefault="00431630">
      <w:pPr>
        <w:spacing w:after="120" w:line="300" w:lineRule="auto"/>
        <w:jc w:val="both"/>
      </w:pPr>
      <w:r>
        <w:rPr>
          <w:b/>
          <w:bCs/>
          <w:i/>
          <w:iCs/>
          <w:color w:val="606060"/>
          <w:sz w:val="21"/>
          <w:szCs w:val="21"/>
        </w:rPr>
        <w:t xml:space="preserve">Note pédagogique : </w:t>
      </w:r>
      <w:r>
        <w:rPr>
          <w:i/>
          <w:iCs/>
          <w:color w:val="606060"/>
          <w:sz w:val="21"/>
          <w:szCs w:val="21"/>
        </w:rPr>
        <w:t>Attention à la lecture fine : l’Asie centrale dépasse de peu 50 % (50,8 %) — la consigne du document indique « aucune région n’atteint réellement 50 % » au sens d’une parité solide et généralisée. Le faire préciser aux élèves : une région juste au-dessus de 50 % ne signifie pas l’égalité atteinte.</w:t>
      </w:r>
    </w:p>
    <w:p w14:paraId="56AE8FC2" w14:textId="77777777" w:rsidR="00772B91" w:rsidRDefault="00431630">
      <w:pPr>
        <w:spacing w:before="150" w:after="70"/>
      </w:pPr>
      <w:r>
        <w:rPr>
          <w:b/>
          <w:bCs/>
          <w:color w:val="404040"/>
        </w:rPr>
        <w:lastRenderedPageBreak/>
        <w:t>Document 3 — Les chercheuses en Europe (2013 / 2023)</w:t>
      </w:r>
    </w:p>
    <w:p w14:paraId="01CDF4E6" w14:textId="77777777" w:rsidR="00772B91" w:rsidRDefault="00431630">
      <w:pPr>
        <w:spacing w:before="130" w:after="50" w:line="290" w:lineRule="auto"/>
      </w:pPr>
      <w:r>
        <w:rPr>
          <w:b/>
          <w:bCs/>
          <w:color w:val="1F3864"/>
        </w:rPr>
        <w:t>1. La France est-elle en avance ou en retard ?</w:t>
      </w:r>
    </w:p>
    <w:p w14:paraId="5538D2DA" w14:textId="77777777" w:rsidR="00772B91" w:rsidRDefault="00431630">
      <w:pPr>
        <w:spacing w:after="120" w:line="300" w:lineRule="auto"/>
        <w:jc w:val="both"/>
      </w:pPr>
      <w:r>
        <w:rPr>
          <w:b/>
          <w:bCs/>
          <w:color w:val="1F6B3F"/>
        </w:rPr>
        <w:t xml:space="preserve">Réponse attendue : </w:t>
      </w:r>
      <w:r>
        <w:t>En retard. Avec environ 29,7 % de chercheuses (2022), la France figure parmi les pays européens les plus bas, loin derrière l’Islande (46,8 %), le Portugal (42,1 %) ou l’Espagne (41,6 %).</w:t>
      </w:r>
    </w:p>
    <w:p w14:paraId="7FFDD0FB" w14:textId="77777777" w:rsidR="00772B91" w:rsidRDefault="00431630">
      <w:pPr>
        <w:spacing w:before="130" w:after="50" w:line="290" w:lineRule="auto"/>
      </w:pPr>
      <w:r>
        <w:rPr>
          <w:b/>
          <w:bCs/>
          <w:color w:val="1F3864"/>
        </w:rPr>
        <w:t>2. Pays les mieux classés : inégalités identiques partout en Europe ?</w:t>
      </w:r>
    </w:p>
    <w:p w14:paraId="47473195" w14:textId="77777777" w:rsidR="00772B91" w:rsidRDefault="00431630">
      <w:pPr>
        <w:spacing w:after="120" w:line="300" w:lineRule="auto"/>
        <w:jc w:val="both"/>
      </w:pPr>
      <w:r>
        <w:rPr>
          <w:b/>
          <w:bCs/>
          <w:color w:val="1F6B3F"/>
        </w:rPr>
        <w:t xml:space="preserve">Réponse attendue : </w:t>
      </w:r>
      <w:r>
        <w:t>Non. L’écart est important entre les pays : de près de 47 % (Islande) à environ 29 % (Allemagne, France). Les inégalités ne sont donc pas les mêmes partout ; les pays du Sud et du Nord de l’Europe sont souvent mieux placés que certains grands pays d’Europe de l’Ouest.</w:t>
      </w:r>
    </w:p>
    <w:p w14:paraId="1145F979" w14:textId="77777777" w:rsidR="00772B91" w:rsidRDefault="00431630">
      <w:pPr>
        <w:spacing w:before="130" w:after="50" w:line="290" w:lineRule="auto"/>
      </w:pPr>
      <w:r>
        <w:rPr>
          <w:b/>
          <w:bCs/>
          <w:color w:val="1F3864"/>
        </w:rPr>
        <w:t>3. Amélioration entre 2013 et 2023 ?</w:t>
      </w:r>
    </w:p>
    <w:p w14:paraId="4480505A" w14:textId="77777777" w:rsidR="00772B91" w:rsidRDefault="00431630">
      <w:pPr>
        <w:spacing w:after="120" w:line="300" w:lineRule="auto"/>
        <w:jc w:val="both"/>
      </w:pPr>
      <w:r>
        <w:rPr>
          <w:b/>
          <w:bCs/>
          <w:color w:val="1F6B3F"/>
        </w:rPr>
        <w:t xml:space="preserve">Réponse attendue : </w:t>
      </w:r>
      <w:r>
        <w:t>Globalement oui, dans la plupart des pays (ex. France 25,5 % → 29,7 % ; Pays-Bas 24,6 % → 30,2 % ; Islande 43,8 % → 46,8 %), mais la progression est lente et quelques pays stagnent.</w:t>
      </w:r>
    </w:p>
    <w:p w14:paraId="09976BC8" w14:textId="77777777" w:rsidR="00772B91" w:rsidRDefault="00431630">
      <w:pPr>
        <w:spacing w:before="130" w:after="50" w:line="290" w:lineRule="auto"/>
      </w:pPr>
      <w:r>
        <w:rPr>
          <w:b/>
          <w:bCs/>
          <w:color w:val="1F3864"/>
        </w:rPr>
        <w:t>4. Si les femmes font autant d’études, pourquoi moins nombreuses dans la recherche ?</w:t>
      </w:r>
    </w:p>
    <w:p w14:paraId="110E9E64" w14:textId="77777777" w:rsidR="00772B91" w:rsidRDefault="00431630">
      <w:pPr>
        <w:spacing w:after="120" w:line="300" w:lineRule="auto"/>
        <w:jc w:val="both"/>
      </w:pPr>
      <w:r>
        <w:rPr>
          <w:b/>
          <w:bCs/>
          <w:color w:val="1F6B3F"/>
        </w:rPr>
        <w:t xml:space="preserve">Réponse attendue : </w:t>
      </w:r>
      <w:r>
        <w:t>C’est la question de synthèse. Réponses attendues : stéréotypes de genre orientant les filles hors des sciences, autocensure, manque de modèles féminins, conditions de travail et de carrière (mobilité, précarité des débuts), difficultés à concilier vie familiale et carrière scientifique, discriminations. Le niveau d’études n’est donc pas le facteur limitant : c’est tout l’environnement social et professionnel.</w:t>
      </w:r>
    </w:p>
    <w:p w14:paraId="24063279" w14:textId="177F8EE0" w:rsidR="00772B91" w:rsidRDefault="00431630" w:rsidP="00753310">
      <w:pPr>
        <w:spacing w:after="120" w:line="300" w:lineRule="auto"/>
        <w:jc w:val="both"/>
      </w:pPr>
      <w:r>
        <w:rPr>
          <w:b/>
          <w:bCs/>
          <w:i/>
          <w:iCs/>
          <w:color w:val="606060"/>
          <w:sz w:val="21"/>
          <w:szCs w:val="21"/>
        </w:rPr>
        <w:t xml:space="preserve">Note pédagogique : </w:t>
      </w:r>
      <w:r>
        <w:rPr>
          <w:i/>
          <w:iCs/>
          <w:color w:val="606060"/>
          <w:sz w:val="21"/>
          <w:szCs w:val="21"/>
        </w:rPr>
        <w:t>Faire le lien explicite avec les activités 1 à 4 : les stéréotypes repérés dans les images des moteurs de recherche sont les mêmes que ceux qui, plus tard, freinent l’accès des femmes aux carrières scientifiques. La boucle de la séquence se referme ici.</w:t>
      </w:r>
    </w:p>
    <w:p w14:paraId="1CCB0787" w14:textId="77777777" w:rsidR="00772B91" w:rsidRDefault="00431630">
      <w:pPr>
        <w:pStyle w:val="Titre1"/>
      </w:pPr>
      <w:r>
        <w:t>3. Prolongements possibles</w:t>
      </w:r>
    </w:p>
    <w:p w14:paraId="33EC8908" w14:textId="77777777" w:rsidR="00772B91" w:rsidRDefault="00431630">
      <w:pPr>
        <w:pStyle w:val="Paragraphedeliste"/>
        <w:numPr>
          <w:ilvl w:val="0"/>
          <w:numId w:val="2"/>
        </w:numPr>
        <w:spacing w:after="70" w:line="290" w:lineRule="auto"/>
      </w:pPr>
      <w:r>
        <w:t>Étudier d’autres indicateurs d’inégalités (salaires, accès aux postes à responsabilité, carrières scientifiques).</w:t>
      </w:r>
    </w:p>
    <w:p w14:paraId="1451BA39" w14:textId="77777777" w:rsidR="00772B91" w:rsidRDefault="00431630">
      <w:pPr>
        <w:pStyle w:val="Paragraphedeliste"/>
        <w:numPr>
          <w:ilvl w:val="0"/>
          <w:numId w:val="2"/>
        </w:numPr>
        <w:spacing w:after="70" w:line="290" w:lineRule="auto"/>
      </w:pPr>
      <w:r>
        <w:t>Comparer les résultats avec d’autres sources (INSEE, Eurostat).</w:t>
      </w:r>
    </w:p>
    <w:p w14:paraId="1E61C6AB" w14:textId="77777777" w:rsidR="00772B91" w:rsidRDefault="00431630">
      <w:pPr>
        <w:pStyle w:val="Paragraphedeliste"/>
        <w:numPr>
          <w:ilvl w:val="0"/>
          <w:numId w:val="2"/>
        </w:numPr>
        <w:spacing w:after="70" w:line="290" w:lineRule="auto"/>
      </w:pPr>
      <w:r>
        <w:t>Organiser un débat argumenté sur les causes des inégalités femmes-hommes dans les sciences.</w:t>
      </w:r>
    </w:p>
    <w:p w14:paraId="280F5D2C" w14:textId="77777777" w:rsidR="00772B91" w:rsidRDefault="00431630">
      <w:pPr>
        <w:pStyle w:val="Paragraphedeliste"/>
        <w:numPr>
          <w:ilvl w:val="0"/>
          <w:numId w:val="2"/>
        </w:numPr>
        <w:spacing w:after="70" w:line="290" w:lineRule="auto"/>
      </w:pPr>
      <w:r>
        <w:t>Travailler en interdisciplinarité avec les SES (inégalités sociales) ou l’EMC (égalité et citoyenneté).</w:t>
      </w:r>
    </w:p>
    <w:p w14:paraId="70762CA9" w14:textId="77777777" w:rsidR="00772B91" w:rsidRDefault="00431630">
      <w:pPr>
        <w:pStyle w:val="Paragraphedeliste"/>
        <w:numPr>
          <w:ilvl w:val="0"/>
          <w:numId w:val="2"/>
        </w:numPr>
        <w:spacing w:after="70" w:line="290" w:lineRule="auto"/>
      </w:pPr>
      <w:r>
        <w:t>Faire le lien avec une activité « orientation » (choix de spécialités, débouchés) si elle est menée par ailleurs.</w:t>
      </w:r>
    </w:p>
    <w:p w14:paraId="009C3AC5" w14:textId="77777777" w:rsidR="00772B91" w:rsidRDefault="00431630">
      <w:pPr>
        <w:pStyle w:val="Titre1"/>
      </w:pPr>
      <w:r>
        <w:t>4. Précautions à prendre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72B91" w14:paraId="17ECAE9C" w14:textId="77777777">
        <w:tc>
          <w:tcPr>
            <w:tcW w:w="9360" w:type="dxa"/>
            <w:tcBorders>
              <w:top w:val="single" w:sz="4" w:space="0" w:color="B0B0B0"/>
              <w:left w:val="single" w:sz="4" w:space="0" w:color="B0B0B0"/>
              <w:bottom w:val="single" w:sz="4" w:space="0" w:color="B0B0B0"/>
              <w:right w:val="single" w:sz="4" w:space="0" w:color="B0B0B0"/>
            </w:tcBorders>
            <w:shd w:val="clear" w:color="auto" w:fill="FBE6D5"/>
            <w:tcMar>
              <w:top w:w="140" w:type="dxa"/>
              <w:left w:w="200" w:type="dxa"/>
              <w:bottom w:w="140" w:type="dxa"/>
              <w:right w:w="200" w:type="dxa"/>
            </w:tcMar>
          </w:tcPr>
          <w:p w14:paraId="04875649" w14:textId="77777777" w:rsidR="00772B91" w:rsidRDefault="00431630">
            <w:pPr>
              <w:spacing w:after="100"/>
            </w:pPr>
            <w:r>
              <w:rPr>
                <w:b/>
                <w:bCs/>
                <w:color w:val="B5651D"/>
                <w:sz w:val="24"/>
                <w:szCs w:val="24"/>
              </w:rPr>
              <w:t>Sujet sensible</w:t>
            </w:r>
          </w:p>
          <w:p w14:paraId="5705E345" w14:textId="77777777" w:rsidR="00772B91" w:rsidRDefault="00431630">
            <w:pPr>
              <w:spacing w:after="60"/>
            </w:pPr>
            <w:r>
              <w:t>La séquence touche aux stéréotypes, à l’identité et à l’égalité filles-garçons. Une posture factuelle et bienveillante est essentielle ; il s’agit de faire observer des faits, pas de culpabiliser.</w:t>
            </w:r>
          </w:p>
        </w:tc>
      </w:tr>
    </w:tbl>
    <w:p w14:paraId="6DF35768" w14:textId="77777777" w:rsidR="00772B91" w:rsidRDefault="00431630">
      <w:pPr>
        <w:spacing w:before="150" w:after="70"/>
      </w:pPr>
      <w:r>
        <w:rPr>
          <w:b/>
          <w:bCs/>
          <w:color w:val="404040"/>
        </w:rPr>
        <w:t>Précaution 1 — Observer, pas juger</w:t>
      </w:r>
    </w:p>
    <w:p w14:paraId="2B6D2E96" w14:textId="77777777" w:rsidR="00772B91" w:rsidRDefault="00431630">
      <w:pPr>
        <w:spacing w:after="120" w:line="300" w:lineRule="auto"/>
        <w:jc w:val="both"/>
      </w:pPr>
      <w:r>
        <w:t>En activité 1, ne pas valoriser ou dévaloriser les réponses des élèves : l’erreur d’attribution est précisément ce qu’on cherche à faire émerger. Le stéréotype est un fait social, pas une faute individuelle.</w:t>
      </w:r>
    </w:p>
    <w:p w14:paraId="16A1096F" w14:textId="77777777" w:rsidR="00772B91" w:rsidRDefault="00431630">
      <w:pPr>
        <w:spacing w:before="150" w:after="70"/>
      </w:pPr>
      <w:r>
        <w:rPr>
          <w:b/>
          <w:bCs/>
          <w:color w:val="404040"/>
        </w:rPr>
        <w:t>Précaution 2 — Réagir aux propos sexistes</w:t>
      </w:r>
    </w:p>
    <w:p w14:paraId="3AF3B21A" w14:textId="77777777" w:rsidR="00772B91" w:rsidRDefault="00431630">
      <w:pPr>
        <w:spacing w:after="120" w:line="300" w:lineRule="auto"/>
        <w:jc w:val="both"/>
      </w:pPr>
      <w:r>
        <w:t xml:space="preserve">Reprendre immédiatement tout propos sexiste, le confronter aux données observées, et rappeler le cadre de respect. Conformément au </w:t>
      </w:r>
      <w:proofErr w:type="spellStart"/>
      <w:r>
        <w:t>vademecum</w:t>
      </w:r>
      <w:proofErr w:type="spellEnd"/>
      <w:r>
        <w:t xml:space="preserve"> SNT/NSI, ces propos doivent être systématiquement relevés.</w:t>
      </w:r>
    </w:p>
    <w:p w14:paraId="320473ED" w14:textId="77777777" w:rsidR="00772B91" w:rsidRDefault="00431630">
      <w:pPr>
        <w:spacing w:before="150" w:after="70"/>
      </w:pPr>
      <w:r>
        <w:rPr>
          <w:b/>
          <w:bCs/>
          <w:color w:val="404040"/>
        </w:rPr>
        <w:t>Précaution 3 — Ne pas dévaloriser les métiers « féminisés »</w:t>
      </w:r>
    </w:p>
    <w:p w14:paraId="6FE014D3" w14:textId="77777777" w:rsidR="00772B91" w:rsidRDefault="00431630">
      <w:pPr>
        <w:spacing w:after="120" w:line="300" w:lineRule="auto"/>
        <w:jc w:val="both"/>
      </w:pPr>
      <w:r>
        <w:t>Les métiers du soin (infirmier, etc.) sont essentiels. Le but n’est pas de les dévaloriser mais de montrer que les représentations associent abusivement certains métiers à un genre.</w:t>
      </w:r>
    </w:p>
    <w:p w14:paraId="028BD8AB" w14:textId="77777777" w:rsidR="00772B91" w:rsidRDefault="00431630">
      <w:pPr>
        <w:spacing w:before="150" w:after="70"/>
      </w:pPr>
      <w:r>
        <w:rPr>
          <w:b/>
          <w:bCs/>
          <w:color w:val="404040"/>
        </w:rPr>
        <w:lastRenderedPageBreak/>
        <w:t>Précaution 4 — Données personnelles et vie privée</w:t>
      </w:r>
    </w:p>
    <w:p w14:paraId="4A03CEE5" w14:textId="77777777" w:rsidR="00772B91" w:rsidRDefault="00431630">
      <w:pPr>
        <w:spacing w:after="120" w:line="300" w:lineRule="auto"/>
        <w:jc w:val="both"/>
      </w:pPr>
      <w:r>
        <w:t>En activités 2 à 4, rappeler de ne pas se connecter à un compte personnel pour les recherches (résultats plus neutres et protection de la vie privée). La navigation privée est recommandée pour limiter l’effet de l’historique.</w:t>
      </w:r>
    </w:p>
    <w:p w14:paraId="0F24F892" w14:textId="77777777" w:rsidR="00772B91" w:rsidRDefault="00431630">
      <w:pPr>
        <w:spacing w:before="150" w:after="70"/>
      </w:pPr>
      <w:r>
        <w:rPr>
          <w:b/>
          <w:bCs/>
          <w:color w:val="404040"/>
        </w:rPr>
        <w:t>Précaution 5 — Prudence sur les contenus affichés</w:t>
      </w:r>
    </w:p>
    <w:p w14:paraId="1860A733" w14:textId="77777777" w:rsidR="00772B91" w:rsidRDefault="00431630">
      <w:pPr>
        <w:spacing w:after="120" w:line="300" w:lineRule="auto"/>
        <w:jc w:val="both"/>
      </w:pPr>
      <w:r>
        <w:t xml:space="preserve">Les recherches d’images peuvent renvoyer des contenus inattendus. Tester les requêtes en amont et cadrer les mots-clés utilisés (s’en tenir à : ingénieur, infirmier, PDG, développeur, </w:t>
      </w:r>
      <w:proofErr w:type="spellStart"/>
      <w:r>
        <w:t>engineer</w:t>
      </w:r>
      <w:proofErr w:type="spellEnd"/>
      <w:r>
        <w:t xml:space="preserve">, </w:t>
      </w:r>
      <w:proofErr w:type="spellStart"/>
      <w:r>
        <w:t>ingenjör</w:t>
      </w:r>
      <w:proofErr w:type="spellEnd"/>
      <w:r>
        <w:t>).</w:t>
      </w:r>
    </w:p>
    <w:p w14:paraId="4EFAFECE" w14:textId="77777777" w:rsidR="00772B91" w:rsidRDefault="00431630">
      <w:pPr>
        <w:spacing w:before="150" w:after="70"/>
      </w:pPr>
      <w:r>
        <w:rPr>
          <w:b/>
          <w:bCs/>
          <w:color w:val="404040"/>
        </w:rPr>
        <w:t>Précaution 6 — Rigueur statistique sur les graphiques UNESCO</w:t>
      </w:r>
    </w:p>
    <w:p w14:paraId="0E0E1648" w14:textId="77777777" w:rsidR="00772B91" w:rsidRDefault="00431630">
      <w:pPr>
        <w:spacing w:after="120" w:line="300" w:lineRule="auto"/>
        <w:jc w:val="both"/>
      </w:pPr>
      <w:r>
        <w:t>Rappeler aux élèves les limites des données (absence de certains pays comme les États-Unis, le Canada, l’Australie ; années de référence différentes selon les pays). C’est l’occasion de travailler l’esprit critique sur la production des données elles-mêmes.</w:t>
      </w:r>
    </w:p>
    <w:p w14:paraId="4D797BC8" w14:textId="77777777" w:rsidR="00772B91" w:rsidRDefault="00431630">
      <w:pPr>
        <w:spacing w:after="120" w:line="300" w:lineRule="auto"/>
        <w:jc w:val="both"/>
      </w:pPr>
      <w:r>
        <w:rPr>
          <w:sz w:val="8"/>
          <w:szCs w:val="8"/>
        </w:rPr>
        <w:t xml:space="preserve"> </w:t>
      </w:r>
    </w:p>
    <w:p w14:paraId="488E8744" w14:textId="4B885610" w:rsidR="00772B91" w:rsidRDefault="00772B91">
      <w:pPr>
        <w:spacing w:after="120" w:line="300" w:lineRule="auto"/>
        <w:jc w:val="center"/>
      </w:pPr>
    </w:p>
    <w:sectPr w:rsidR="00772B91" w:rsidSect="00753310">
      <w:pgSz w:w="11906" w:h="16838"/>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711BC"/>
    <w:multiLevelType w:val="hybridMultilevel"/>
    <w:tmpl w:val="165C183C"/>
    <w:lvl w:ilvl="0" w:tplc="1792C4CA">
      <w:start w:val="1"/>
      <w:numFmt w:val="bullet"/>
      <w:lvlText w:val="•"/>
      <w:lvlJc w:val="left"/>
      <w:pPr>
        <w:ind w:left="620" w:hanging="300"/>
      </w:pPr>
    </w:lvl>
    <w:lvl w:ilvl="1" w:tplc="0AC21AEC">
      <w:numFmt w:val="decimal"/>
      <w:lvlText w:val=""/>
      <w:lvlJc w:val="left"/>
    </w:lvl>
    <w:lvl w:ilvl="2" w:tplc="16DEBD74">
      <w:numFmt w:val="decimal"/>
      <w:lvlText w:val=""/>
      <w:lvlJc w:val="left"/>
    </w:lvl>
    <w:lvl w:ilvl="3" w:tplc="BFA0F280">
      <w:numFmt w:val="decimal"/>
      <w:lvlText w:val=""/>
      <w:lvlJc w:val="left"/>
    </w:lvl>
    <w:lvl w:ilvl="4" w:tplc="9EA47698">
      <w:numFmt w:val="decimal"/>
      <w:lvlText w:val=""/>
      <w:lvlJc w:val="left"/>
    </w:lvl>
    <w:lvl w:ilvl="5" w:tplc="23E2E7A8">
      <w:numFmt w:val="decimal"/>
      <w:lvlText w:val=""/>
      <w:lvlJc w:val="left"/>
    </w:lvl>
    <w:lvl w:ilvl="6" w:tplc="D876CA5E">
      <w:numFmt w:val="decimal"/>
      <w:lvlText w:val=""/>
      <w:lvlJc w:val="left"/>
    </w:lvl>
    <w:lvl w:ilvl="7" w:tplc="1250F6AC">
      <w:numFmt w:val="decimal"/>
      <w:lvlText w:val=""/>
      <w:lvlJc w:val="left"/>
    </w:lvl>
    <w:lvl w:ilvl="8" w:tplc="E27408EC">
      <w:numFmt w:val="decimal"/>
      <w:lvlText w:val=""/>
      <w:lvlJc w:val="left"/>
    </w:lvl>
  </w:abstractNum>
  <w:abstractNum w:abstractNumId="1" w15:restartNumberingAfterBreak="0">
    <w:nsid w:val="2CD52A11"/>
    <w:multiLevelType w:val="hybridMultilevel"/>
    <w:tmpl w:val="0B0042C6"/>
    <w:lvl w:ilvl="0" w:tplc="0E8212EE">
      <w:start w:val="1"/>
      <w:numFmt w:val="bullet"/>
      <w:lvlText w:val="●"/>
      <w:lvlJc w:val="left"/>
      <w:pPr>
        <w:ind w:left="720" w:hanging="360"/>
      </w:pPr>
    </w:lvl>
    <w:lvl w:ilvl="1" w:tplc="AE2C6E5A">
      <w:start w:val="1"/>
      <w:numFmt w:val="bullet"/>
      <w:lvlText w:val="○"/>
      <w:lvlJc w:val="left"/>
      <w:pPr>
        <w:ind w:left="1440" w:hanging="360"/>
      </w:pPr>
    </w:lvl>
    <w:lvl w:ilvl="2" w:tplc="E8C211E6">
      <w:start w:val="1"/>
      <w:numFmt w:val="bullet"/>
      <w:lvlText w:val="■"/>
      <w:lvlJc w:val="left"/>
      <w:pPr>
        <w:ind w:left="2160" w:hanging="360"/>
      </w:pPr>
    </w:lvl>
    <w:lvl w:ilvl="3" w:tplc="E2B6F884">
      <w:start w:val="1"/>
      <w:numFmt w:val="bullet"/>
      <w:lvlText w:val="●"/>
      <w:lvlJc w:val="left"/>
      <w:pPr>
        <w:ind w:left="2880" w:hanging="360"/>
      </w:pPr>
    </w:lvl>
    <w:lvl w:ilvl="4" w:tplc="94AAA6FE">
      <w:start w:val="1"/>
      <w:numFmt w:val="bullet"/>
      <w:lvlText w:val="○"/>
      <w:lvlJc w:val="left"/>
      <w:pPr>
        <w:ind w:left="3600" w:hanging="360"/>
      </w:pPr>
    </w:lvl>
    <w:lvl w:ilvl="5" w:tplc="06204F88">
      <w:start w:val="1"/>
      <w:numFmt w:val="bullet"/>
      <w:lvlText w:val="■"/>
      <w:lvlJc w:val="left"/>
      <w:pPr>
        <w:ind w:left="4320" w:hanging="360"/>
      </w:pPr>
    </w:lvl>
    <w:lvl w:ilvl="6" w:tplc="9990B08A">
      <w:start w:val="1"/>
      <w:numFmt w:val="bullet"/>
      <w:lvlText w:val="●"/>
      <w:lvlJc w:val="left"/>
      <w:pPr>
        <w:ind w:left="5040" w:hanging="360"/>
      </w:pPr>
    </w:lvl>
    <w:lvl w:ilvl="7" w:tplc="19C03282">
      <w:start w:val="1"/>
      <w:numFmt w:val="bullet"/>
      <w:lvlText w:val="●"/>
      <w:lvlJc w:val="left"/>
      <w:pPr>
        <w:ind w:left="5760" w:hanging="360"/>
      </w:pPr>
    </w:lvl>
    <w:lvl w:ilvl="8" w:tplc="EA9E5CDE">
      <w:start w:val="1"/>
      <w:numFmt w:val="bullet"/>
      <w:lvlText w:val="●"/>
      <w:lvlJc w:val="left"/>
      <w:pPr>
        <w:ind w:left="6480" w:hanging="360"/>
      </w:pPr>
    </w:lvl>
  </w:abstractNum>
  <w:num w:numId="1" w16cid:durableId="864905356">
    <w:abstractNumId w:val="1"/>
    <w:lvlOverride w:ilvl="0">
      <w:startOverride w:val="1"/>
    </w:lvlOverride>
  </w:num>
  <w:num w:numId="2" w16cid:durableId="20573907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B91"/>
    <w:rsid w:val="000F3AB1"/>
    <w:rsid w:val="003231C2"/>
    <w:rsid w:val="00431630"/>
    <w:rsid w:val="00753310"/>
    <w:rsid w:val="00772B91"/>
    <w:rsid w:val="00936FE5"/>
    <w:rsid w:val="00AD5E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6E7CC"/>
  <w15:docId w15:val="{DE86C79C-632B-4768-A630-0910F00D5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spacing w:before="280" w:after="160"/>
      <w:outlineLvl w:val="0"/>
    </w:pPr>
    <w:rPr>
      <w:b/>
      <w:bCs/>
      <w:color w:val="1F3864"/>
      <w:sz w:val="30"/>
      <w:szCs w:val="30"/>
    </w:rPr>
  </w:style>
  <w:style w:type="paragraph" w:styleId="Titre2">
    <w:name w:val="heading 2"/>
    <w:uiPriority w:val="9"/>
    <w:unhideWhenUsed/>
    <w:qFormat/>
    <w:pPr>
      <w:spacing w:before="200" w:after="110"/>
      <w:outlineLvl w:val="1"/>
    </w:pPr>
    <w:rPr>
      <w:b/>
      <w:bCs/>
      <w:color w:val="2E5395"/>
      <w:sz w:val="24"/>
      <w:szCs w:val="24"/>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rPr>
      <w:sz w:val="20"/>
      <w:szCs w:val="20"/>
    </w:rPr>
  </w:style>
  <w:style w:type="character" w:customStyle="1" w:styleId="NotedefinCar">
    <w:name w:val="Note de fin Car"/>
    <w:link w:val="Notedefin"/>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2337</Words>
  <Characters>12854</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sebastien MALICET</cp:lastModifiedBy>
  <cp:revision>3</cp:revision>
  <dcterms:created xsi:type="dcterms:W3CDTF">2026-05-27T06:17:00Z</dcterms:created>
  <dcterms:modified xsi:type="dcterms:W3CDTF">2026-06-07T14:42:00Z</dcterms:modified>
</cp:coreProperties>
</file>